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4054" w14:textId="77777777" w:rsidR="003F0E92" w:rsidRPr="00402B5A" w:rsidRDefault="001D7B0B" w:rsidP="00F64FEA">
      <w:pPr>
        <w:rPr>
          <w:rFonts w:cs="Arial"/>
        </w:rPr>
      </w:pPr>
      <w:r w:rsidRPr="00402B5A">
        <w:rPr>
          <w:rFonts w:cs="Arial"/>
          <w:noProof/>
        </w:rPr>
        <w:drawing>
          <wp:inline distT="0" distB="0" distL="0" distR="0" wp14:anchorId="1B63F060" wp14:editId="64096213">
            <wp:extent cx="1276350" cy="1171575"/>
            <wp:effectExtent l="0" t="0" r="0" b="9525"/>
            <wp:docPr id="1" name="Picture 1" descr="http://ourhouse/branding/logos/SHA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rhouse/branding/logos/SHA_logo_B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171575"/>
                    </a:xfrm>
                    <a:prstGeom prst="rect">
                      <a:avLst/>
                    </a:prstGeom>
                    <a:noFill/>
                    <a:ln>
                      <a:noFill/>
                    </a:ln>
                  </pic:spPr>
                </pic:pic>
              </a:graphicData>
            </a:graphic>
          </wp:inline>
        </w:drawing>
      </w:r>
      <w:r w:rsidRPr="00402B5A">
        <w:rPr>
          <w:rFonts w:cs="Arial"/>
          <w:noProof/>
        </w:rPr>
        <mc:AlternateContent>
          <mc:Choice Requires="wps">
            <w:drawing>
              <wp:anchor distT="0" distB="0" distL="114300" distR="114300" simplePos="0" relativeHeight="251657728" behindDoc="0" locked="0" layoutInCell="1" allowOverlap="1" wp14:anchorId="57044C84" wp14:editId="5AF84715">
                <wp:simplePos x="0" y="0"/>
                <wp:positionH relativeFrom="column">
                  <wp:posOffset>1743075</wp:posOffset>
                </wp:positionH>
                <wp:positionV relativeFrom="paragraph">
                  <wp:posOffset>2540</wp:posOffset>
                </wp:positionV>
                <wp:extent cx="3429000" cy="914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14C221BB" w14:textId="77777777" w:rsidR="00F11F99" w:rsidRDefault="00F11F99" w:rsidP="00F64FEA">
                            <w:pPr>
                              <w:pStyle w:val="Subtitle"/>
                              <w:rPr>
                                <w:sz w:val="28"/>
                              </w:rPr>
                            </w:pPr>
                            <w:r>
                              <w:rPr>
                                <w:sz w:val="28"/>
                              </w:rPr>
                              <w:t xml:space="preserve">Attachment A, </w:t>
                            </w:r>
                            <w:r>
                              <w:rPr>
                                <w:sz w:val="28"/>
                                <w:bdr w:val="single" w:sz="4" w:space="0" w:color="auto"/>
                              </w:rPr>
                              <w:t>Version  2</w:t>
                            </w:r>
                          </w:p>
                          <w:p w14:paraId="7694C159" w14:textId="4A786C0D" w:rsidR="00F11F99" w:rsidRDefault="00F11F99" w:rsidP="00F64FEA">
                            <w:pPr>
                              <w:jc w:val="center"/>
                              <w:rPr>
                                <w:sz w:val="22"/>
                              </w:rPr>
                            </w:pPr>
                            <w:r>
                              <w:rPr>
                                <w:sz w:val="22"/>
                              </w:rPr>
                              <w:t>($35,000 to $</w:t>
                            </w:r>
                            <w:r w:rsidR="00553AF1">
                              <w:rPr>
                                <w:sz w:val="22"/>
                              </w:rPr>
                              <w:t>2</w:t>
                            </w:r>
                            <w:r>
                              <w:rPr>
                                <w:sz w:val="22"/>
                              </w:rPr>
                              <w:t>50,000)</w:t>
                            </w:r>
                          </w:p>
                          <w:p w14:paraId="43CA58EF" w14:textId="77777777" w:rsidR="00F11F99" w:rsidRDefault="00F11F99" w:rsidP="00F64FEA">
                            <w:pPr>
                              <w:jc w:val="center"/>
                              <w:rPr>
                                <w:sz w:val="18"/>
                              </w:rPr>
                            </w:pPr>
                          </w:p>
                          <w:p w14:paraId="44C2AE5A" w14:textId="26B48DA6" w:rsidR="00F11F99" w:rsidRDefault="00553AF1" w:rsidP="00F64FEA">
                            <w:pPr>
                              <w:pStyle w:val="Subtitle"/>
                            </w:pPr>
                            <w:r>
                              <w:t>Request</w:t>
                            </w:r>
                            <w:r w:rsidR="00F11F99">
                              <w:t xml:space="preserve"> </w:t>
                            </w:r>
                            <w:r w:rsidR="00D50639">
                              <w:t>For</w:t>
                            </w:r>
                            <w:r w:rsidR="00F11F99">
                              <w:t xml:space="preserve"> Bid (</w:t>
                            </w:r>
                            <w:r w:rsidR="00D50639">
                              <w:t>b</w:t>
                            </w:r>
                            <w:r w:rsidR="00F11F99">
                              <w:t xml:space="preserve">y </w:t>
                            </w:r>
                            <w:r>
                              <w:t>e-mail</w:t>
                            </w:r>
                            <w:r w:rsidR="00F11F99">
                              <w:t>)</w:t>
                            </w:r>
                          </w:p>
                          <w:p w14:paraId="7BA79140" w14:textId="77777777" w:rsidR="00F11F99" w:rsidRDefault="00F11F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44C84" id="_x0000_t202" coordsize="21600,21600" o:spt="202" path="m,l,21600r21600,l21600,xe">
                <v:stroke joinstyle="miter"/>
                <v:path gradientshapeok="t" o:connecttype="rect"/>
              </v:shapetype>
              <v:shape id="Text Box 4" o:spid="_x0000_s1026" type="#_x0000_t202" style="position:absolute;margin-left:137.25pt;margin-top:.2pt;width:27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">
                <v:textbox>
                  <w:txbxContent>
                    <w:p w14:paraId="14C221BB" w14:textId="77777777" w:rsidR="00F11F99" w:rsidRDefault="00F11F99" w:rsidP="00F64FEA">
                      <w:pPr>
                        <w:pStyle w:val="Subtitle"/>
                        <w:rPr>
                          <w:sz w:val="28"/>
                        </w:rPr>
                      </w:pPr>
                      <w:r>
                        <w:rPr>
                          <w:sz w:val="28"/>
                        </w:rPr>
                        <w:t xml:space="preserve">Attachment A, </w:t>
                      </w:r>
                      <w:r>
                        <w:rPr>
                          <w:sz w:val="28"/>
                          <w:bdr w:val="single" w:sz="4" w:space="0" w:color="auto"/>
                        </w:rPr>
                        <w:t>Version  2</w:t>
                      </w:r>
                    </w:p>
                    <w:p w14:paraId="7694C159" w14:textId="4A786C0D" w:rsidR="00F11F99" w:rsidRDefault="00F11F99" w:rsidP="00F64FEA">
                      <w:pPr>
                        <w:jc w:val="center"/>
                        <w:rPr>
                          <w:sz w:val="22"/>
                        </w:rPr>
                      </w:pPr>
                      <w:r>
                        <w:rPr>
                          <w:sz w:val="22"/>
                        </w:rPr>
                        <w:t>($35,000 to $</w:t>
                      </w:r>
                      <w:r w:rsidR="00553AF1">
                        <w:rPr>
                          <w:sz w:val="22"/>
                        </w:rPr>
                        <w:t>2</w:t>
                      </w:r>
                      <w:r>
                        <w:rPr>
                          <w:sz w:val="22"/>
                        </w:rPr>
                        <w:t>50,000)</w:t>
                      </w:r>
                    </w:p>
                    <w:p w14:paraId="43CA58EF" w14:textId="77777777" w:rsidR="00F11F99" w:rsidRDefault="00F11F99" w:rsidP="00F64FEA">
                      <w:pPr>
                        <w:jc w:val="center"/>
                        <w:rPr>
                          <w:sz w:val="18"/>
                        </w:rPr>
                      </w:pPr>
                    </w:p>
                    <w:p w14:paraId="44C2AE5A" w14:textId="26B48DA6" w:rsidR="00F11F99" w:rsidRDefault="00553AF1" w:rsidP="00F64FEA">
                      <w:pPr>
                        <w:pStyle w:val="Subtitle"/>
                      </w:pPr>
                      <w:r>
                        <w:t>Request</w:t>
                      </w:r>
                      <w:r w:rsidR="00F11F99">
                        <w:t xml:space="preserve"> </w:t>
                      </w:r>
                      <w:r w:rsidR="00D50639">
                        <w:t>For</w:t>
                      </w:r>
                      <w:r w:rsidR="00F11F99">
                        <w:t xml:space="preserve"> Bid (</w:t>
                      </w:r>
                      <w:r w:rsidR="00D50639">
                        <w:t>b</w:t>
                      </w:r>
                      <w:r w:rsidR="00F11F99">
                        <w:t xml:space="preserve">y </w:t>
                      </w:r>
                      <w:r>
                        <w:t>e-mail</w:t>
                      </w:r>
                      <w:r w:rsidR="00F11F99">
                        <w:t>)</w:t>
                      </w:r>
                    </w:p>
                    <w:p w14:paraId="7BA79140" w14:textId="77777777" w:rsidR="00F11F99" w:rsidRDefault="00F11F99"/>
                  </w:txbxContent>
                </v:textbox>
              </v:shape>
            </w:pict>
          </mc:Fallback>
        </mc:AlternateContent>
      </w:r>
    </w:p>
    <w:p w14:paraId="667C4D4B" w14:textId="77777777" w:rsidR="003F0E92" w:rsidRPr="00402B5A" w:rsidRDefault="003F0E92">
      <w:pPr>
        <w:jc w:val="both"/>
        <w:rPr>
          <w:rFonts w:cs="Arial"/>
          <w:sz w:val="20"/>
        </w:rPr>
      </w:pPr>
    </w:p>
    <w:p w14:paraId="49AE18A0" w14:textId="3A06531E" w:rsidR="003F0E92" w:rsidRPr="00402B5A" w:rsidRDefault="003F0E92">
      <w:pPr>
        <w:jc w:val="both"/>
        <w:rPr>
          <w:rFonts w:cs="Arial"/>
          <w:sz w:val="20"/>
        </w:rPr>
      </w:pPr>
      <w:r w:rsidRPr="00402B5A">
        <w:rPr>
          <w:rFonts w:cs="Arial"/>
          <w:sz w:val="20"/>
        </w:rPr>
        <w:t xml:space="preserve">The work described in the </w:t>
      </w:r>
      <w:r w:rsidR="00553AF1">
        <w:rPr>
          <w:rFonts w:cs="Arial"/>
          <w:sz w:val="20"/>
        </w:rPr>
        <w:t xml:space="preserve">Request </w:t>
      </w:r>
      <w:r w:rsidR="00D50639">
        <w:rPr>
          <w:rFonts w:cs="Arial"/>
          <w:sz w:val="20"/>
        </w:rPr>
        <w:t>For</w:t>
      </w:r>
      <w:r w:rsidR="00381118" w:rsidRPr="00402B5A">
        <w:rPr>
          <w:rFonts w:cs="Arial"/>
          <w:sz w:val="20"/>
        </w:rPr>
        <w:t xml:space="preserve"> </w:t>
      </w:r>
      <w:r w:rsidRPr="00402B5A">
        <w:rPr>
          <w:rFonts w:cs="Arial"/>
          <w:sz w:val="20"/>
        </w:rPr>
        <w:t xml:space="preserve">Bid (by </w:t>
      </w:r>
      <w:r w:rsidR="00553AF1">
        <w:rPr>
          <w:rFonts w:cs="Arial"/>
          <w:sz w:val="20"/>
        </w:rPr>
        <w:t>e-mail</w:t>
      </w:r>
      <w:r w:rsidRPr="00402B5A">
        <w:rPr>
          <w:rFonts w:cs="Arial"/>
          <w:sz w:val="20"/>
        </w:rPr>
        <w:t>) is subject to the following terms and conditions:</w:t>
      </w:r>
    </w:p>
    <w:p w14:paraId="36F39EEC" w14:textId="77777777" w:rsidR="007B41FE" w:rsidRPr="00402B5A" w:rsidRDefault="007B41FE" w:rsidP="005E3948">
      <w:pPr>
        <w:jc w:val="both"/>
        <w:rPr>
          <w:rFonts w:cs="Arial"/>
          <w:sz w:val="20"/>
        </w:rPr>
      </w:pPr>
    </w:p>
    <w:p w14:paraId="3B2493AF" w14:textId="77777777" w:rsidR="008F2346" w:rsidRPr="00402B5A" w:rsidRDefault="007B41FE" w:rsidP="008F2346">
      <w:pPr>
        <w:pStyle w:val="BodyTextIndent2"/>
        <w:spacing w:after="0" w:line="240" w:lineRule="auto"/>
        <w:ind w:left="0"/>
        <w:rPr>
          <w:rFonts w:cs="Arial"/>
          <w:sz w:val="20"/>
        </w:rPr>
      </w:pPr>
      <w:r w:rsidRPr="00402B5A">
        <w:rPr>
          <w:rFonts w:cs="Arial"/>
          <w:b/>
          <w:color w:val="333333"/>
          <w:sz w:val="20"/>
          <w:u w:val="single"/>
        </w:rPr>
        <w:t>Bidder Responsibility</w:t>
      </w:r>
      <w:r w:rsidRPr="00402B5A">
        <w:rPr>
          <w:rFonts w:cs="Arial"/>
          <w:color w:val="333333"/>
          <w:sz w:val="20"/>
        </w:rPr>
        <w:t xml:space="preserve">:  </w:t>
      </w:r>
      <w:r w:rsidR="005D3025" w:rsidRPr="00402B5A">
        <w:rPr>
          <w:rFonts w:cs="Arial"/>
          <w:sz w:val="20"/>
        </w:rPr>
        <w:t>T</w:t>
      </w:r>
      <w:r w:rsidR="00CA13BD" w:rsidRPr="00402B5A">
        <w:rPr>
          <w:rFonts w:cs="Arial"/>
          <w:sz w:val="20"/>
        </w:rPr>
        <w:t xml:space="preserve">he bidder must meet the </w:t>
      </w:r>
      <w:r w:rsidR="004C0CAA" w:rsidRPr="00402B5A">
        <w:rPr>
          <w:rFonts w:cs="Arial"/>
          <w:sz w:val="20"/>
        </w:rPr>
        <w:t>mandatory</w:t>
      </w:r>
      <w:r w:rsidR="00CA13BD" w:rsidRPr="00402B5A">
        <w:rPr>
          <w:rFonts w:cs="Arial"/>
          <w:sz w:val="20"/>
        </w:rPr>
        <w:t xml:space="preserve"> bidder responsibility criteria </w:t>
      </w:r>
      <w:r w:rsidR="00F11F99" w:rsidRPr="00402B5A">
        <w:rPr>
          <w:rFonts w:cs="Arial"/>
          <w:sz w:val="20"/>
        </w:rPr>
        <w:t xml:space="preserve">described below and </w:t>
      </w:r>
      <w:r w:rsidR="005D3025" w:rsidRPr="00402B5A">
        <w:rPr>
          <w:rFonts w:cs="Arial"/>
          <w:sz w:val="20"/>
        </w:rPr>
        <w:t xml:space="preserve">as specified in </w:t>
      </w:r>
      <w:r w:rsidR="00F11F99" w:rsidRPr="00402B5A">
        <w:rPr>
          <w:rFonts w:cs="Arial"/>
          <w:sz w:val="20"/>
        </w:rPr>
        <w:t xml:space="preserve">RCW 39.04 or 2 CFR 200 </w:t>
      </w:r>
      <w:r w:rsidR="004C0CAA" w:rsidRPr="00402B5A">
        <w:rPr>
          <w:rFonts w:cs="Arial"/>
          <w:sz w:val="20"/>
        </w:rPr>
        <w:t xml:space="preserve">in </w:t>
      </w:r>
      <w:r w:rsidR="003668FC" w:rsidRPr="00402B5A">
        <w:rPr>
          <w:rFonts w:cs="Arial"/>
          <w:sz w:val="20"/>
        </w:rPr>
        <w:t xml:space="preserve">order to be considered a responsible contractor and </w:t>
      </w:r>
      <w:r w:rsidR="005D3025" w:rsidRPr="00402B5A">
        <w:rPr>
          <w:rFonts w:cs="Arial"/>
          <w:sz w:val="20"/>
        </w:rPr>
        <w:t xml:space="preserve">be </w:t>
      </w:r>
      <w:r w:rsidR="003668FC" w:rsidRPr="00402B5A">
        <w:rPr>
          <w:rFonts w:cs="Arial"/>
          <w:sz w:val="20"/>
        </w:rPr>
        <w:t>eligible for award consideration</w:t>
      </w:r>
      <w:r w:rsidR="00F11F99" w:rsidRPr="00402B5A">
        <w:rPr>
          <w:rFonts w:cs="Arial"/>
          <w:sz w:val="20"/>
        </w:rPr>
        <w:t>:</w:t>
      </w:r>
    </w:p>
    <w:p w14:paraId="05427326" w14:textId="77777777" w:rsidR="00BF5832" w:rsidRPr="00402B5A" w:rsidRDefault="00BF5832" w:rsidP="00BF5832">
      <w:pPr>
        <w:widowControl w:val="0"/>
        <w:ind w:left="720"/>
        <w:jc w:val="both"/>
        <w:rPr>
          <w:rFonts w:cs="Arial"/>
          <w:sz w:val="20"/>
        </w:rPr>
      </w:pPr>
    </w:p>
    <w:p w14:paraId="614832B9" w14:textId="77777777" w:rsidR="00BF5832" w:rsidRPr="00402B5A" w:rsidRDefault="00BF5832" w:rsidP="00BF5832">
      <w:pPr>
        <w:ind w:left="648" w:hanging="360"/>
        <w:rPr>
          <w:rFonts w:cs="Arial"/>
          <w:sz w:val="20"/>
        </w:rPr>
      </w:pPr>
      <w:r w:rsidRPr="00402B5A">
        <w:rPr>
          <w:rFonts w:cs="Arial"/>
          <w:sz w:val="20"/>
        </w:rPr>
        <w:t>1.</w:t>
      </w:r>
      <w:r w:rsidRPr="00402B5A">
        <w:rPr>
          <w:rFonts w:cs="Arial"/>
          <w:sz w:val="20"/>
        </w:rPr>
        <w:tab/>
        <w:t>At the time of bid submittal, have a current certificate of registration in compliance with chapter 18.27 RCW, which must have been in effect at the time of the bid submittal;</w:t>
      </w:r>
    </w:p>
    <w:p w14:paraId="29CECCB5" w14:textId="77777777" w:rsidR="00BF5832" w:rsidRPr="00402B5A" w:rsidRDefault="00BF5832" w:rsidP="00BF5832">
      <w:pPr>
        <w:ind w:left="648" w:hanging="360"/>
        <w:rPr>
          <w:rFonts w:cs="Arial"/>
          <w:sz w:val="20"/>
        </w:rPr>
      </w:pPr>
      <w:r w:rsidRPr="00402B5A">
        <w:rPr>
          <w:rFonts w:cs="Arial"/>
          <w:sz w:val="20"/>
        </w:rPr>
        <w:t>2.</w:t>
      </w:r>
      <w:r w:rsidRPr="00402B5A">
        <w:rPr>
          <w:rFonts w:cs="Arial"/>
          <w:sz w:val="20"/>
        </w:rPr>
        <w:tab/>
        <w:t>Have a current Washington Unified Business Identifier (UBI) number;</w:t>
      </w:r>
    </w:p>
    <w:p w14:paraId="7D900C00" w14:textId="77777777" w:rsidR="00BF5832" w:rsidRPr="00402B5A" w:rsidRDefault="00BF5832" w:rsidP="00BF5832">
      <w:pPr>
        <w:ind w:left="648" w:hanging="360"/>
        <w:rPr>
          <w:rFonts w:cs="Arial"/>
          <w:sz w:val="20"/>
        </w:rPr>
      </w:pPr>
      <w:r w:rsidRPr="00402B5A">
        <w:rPr>
          <w:rFonts w:cs="Arial"/>
          <w:sz w:val="20"/>
        </w:rPr>
        <w:t>3.</w:t>
      </w:r>
      <w:r w:rsidRPr="00402B5A">
        <w:rPr>
          <w:rFonts w:cs="Arial"/>
          <w:sz w:val="20"/>
        </w:rPr>
        <w:tab/>
        <w:t xml:space="preserve">If applicable: </w:t>
      </w:r>
    </w:p>
    <w:p w14:paraId="1A294A72" w14:textId="77777777" w:rsidR="00BF5832" w:rsidRPr="00402B5A" w:rsidRDefault="00BF5832" w:rsidP="00BF5832">
      <w:pPr>
        <w:numPr>
          <w:ilvl w:val="0"/>
          <w:numId w:val="6"/>
        </w:numPr>
        <w:tabs>
          <w:tab w:val="num" w:pos="1656"/>
        </w:tabs>
        <w:ind w:left="936"/>
        <w:rPr>
          <w:rFonts w:cs="Arial"/>
          <w:sz w:val="20"/>
        </w:rPr>
      </w:pPr>
      <w:r w:rsidRPr="00402B5A">
        <w:rPr>
          <w:rFonts w:cs="Arial"/>
          <w:sz w:val="20"/>
        </w:rPr>
        <w:t>Have Industrial Insurance (workers' compensation) coverage for the bidder’s employees working in Washington, as required in Title 51 RCW;</w:t>
      </w:r>
    </w:p>
    <w:p w14:paraId="3D19C75D" w14:textId="77777777" w:rsidR="00BF5832" w:rsidRPr="00402B5A" w:rsidRDefault="00BF5832" w:rsidP="00BF5832">
      <w:pPr>
        <w:numPr>
          <w:ilvl w:val="0"/>
          <w:numId w:val="6"/>
        </w:numPr>
        <w:ind w:left="936"/>
        <w:rPr>
          <w:rFonts w:cs="Arial"/>
          <w:sz w:val="20"/>
        </w:rPr>
      </w:pPr>
      <w:r w:rsidRPr="00402B5A">
        <w:rPr>
          <w:rFonts w:cs="Arial"/>
          <w:sz w:val="20"/>
        </w:rPr>
        <w:t>Have a Washington Employment Security Department number, as required in Title 50 RCW;</w:t>
      </w:r>
    </w:p>
    <w:p w14:paraId="21020D5C" w14:textId="77777777" w:rsidR="00BF5832" w:rsidRPr="00402B5A" w:rsidRDefault="00BF5832" w:rsidP="00BF5832">
      <w:pPr>
        <w:numPr>
          <w:ilvl w:val="0"/>
          <w:numId w:val="7"/>
        </w:numPr>
        <w:ind w:left="936"/>
        <w:rPr>
          <w:rFonts w:cs="Arial"/>
          <w:sz w:val="20"/>
        </w:rPr>
      </w:pPr>
      <w:r w:rsidRPr="00402B5A">
        <w:rPr>
          <w:rFonts w:cs="Arial"/>
          <w:sz w:val="20"/>
        </w:rPr>
        <w:t>Have a Washington Department of Revenue state excise tax registration number, as required in Title 82 RCW;</w:t>
      </w:r>
    </w:p>
    <w:p w14:paraId="66C73C57" w14:textId="77777777" w:rsidR="00BF5832" w:rsidRPr="00402B5A" w:rsidRDefault="00BF5832" w:rsidP="00BF5832">
      <w:pPr>
        <w:numPr>
          <w:ilvl w:val="0"/>
          <w:numId w:val="7"/>
        </w:numPr>
        <w:ind w:left="936"/>
        <w:rPr>
          <w:rFonts w:cs="Arial"/>
          <w:sz w:val="20"/>
        </w:rPr>
      </w:pPr>
      <w:r w:rsidRPr="00402B5A">
        <w:rPr>
          <w:rFonts w:cs="Arial"/>
          <w:sz w:val="20"/>
        </w:rPr>
        <w:t>Electrical Contractor License, if required by Chapter 19.28 RCW</w:t>
      </w:r>
    </w:p>
    <w:p w14:paraId="0462BF1C" w14:textId="77777777" w:rsidR="00BF5832" w:rsidRPr="00402B5A" w:rsidRDefault="00BF5832" w:rsidP="00BF5832">
      <w:pPr>
        <w:numPr>
          <w:ilvl w:val="0"/>
          <w:numId w:val="7"/>
        </w:numPr>
        <w:ind w:left="936"/>
        <w:rPr>
          <w:rFonts w:cs="Arial"/>
          <w:sz w:val="20"/>
        </w:rPr>
      </w:pPr>
      <w:r w:rsidRPr="00402B5A">
        <w:rPr>
          <w:rFonts w:cs="Arial"/>
          <w:sz w:val="20"/>
        </w:rPr>
        <w:t>Elevator Contractor License, if required by Chapter 70.87 RCW</w:t>
      </w:r>
    </w:p>
    <w:p w14:paraId="5B4A3F0E" w14:textId="77777777" w:rsidR="00BF5832" w:rsidRPr="00402B5A" w:rsidRDefault="00BF5832" w:rsidP="00BF5832">
      <w:pPr>
        <w:ind w:left="648" w:hanging="360"/>
        <w:rPr>
          <w:rFonts w:cs="Arial"/>
          <w:sz w:val="20"/>
        </w:rPr>
      </w:pPr>
      <w:r w:rsidRPr="00402B5A">
        <w:rPr>
          <w:rFonts w:cs="Arial"/>
          <w:sz w:val="20"/>
        </w:rPr>
        <w:t>4.</w:t>
      </w:r>
      <w:r w:rsidRPr="00402B5A">
        <w:rPr>
          <w:rFonts w:cs="Arial"/>
          <w:sz w:val="20"/>
        </w:rPr>
        <w:tab/>
        <w:t>Not be disqualified from bidding on any public works contract under RCW 39.06.010 or RCW 39.12.065(3).</w:t>
      </w:r>
    </w:p>
    <w:p w14:paraId="4A61EA88" w14:textId="77777777" w:rsidR="00BF5832" w:rsidRPr="00402B5A" w:rsidRDefault="00BF5832" w:rsidP="00BF5832">
      <w:pPr>
        <w:ind w:left="648" w:hanging="360"/>
        <w:rPr>
          <w:rFonts w:cs="Arial"/>
          <w:sz w:val="20"/>
        </w:rPr>
      </w:pPr>
      <w:r w:rsidRPr="00402B5A">
        <w:rPr>
          <w:rFonts w:cs="Arial"/>
          <w:sz w:val="20"/>
        </w:rPr>
        <w:t>5.</w:t>
      </w:r>
      <w:r w:rsidRPr="00402B5A">
        <w:rPr>
          <w:rFonts w:cs="Arial"/>
          <w:sz w:val="20"/>
        </w:rPr>
        <w:tab/>
        <w:t>Has not more than one violation of the off-site, prefabricated, non-standard, project specific items reporting requirements of RCW 39.04.370. (Applicable until December 31, 2013)</w:t>
      </w:r>
    </w:p>
    <w:p w14:paraId="296F3335" w14:textId="77777777" w:rsidR="002563CB" w:rsidRDefault="00BF5832" w:rsidP="00ED6FAC">
      <w:pPr>
        <w:tabs>
          <w:tab w:val="left" w:pos="270"/>
          <w:tab w:val="left" w:pos="540"/>
        </w:tabs>
        <w:ind w:left="630" w:hanging="630"/>
        <w:rPr>
          <w:rFonts w:cs="Arial"/>
          <w:sz w:val="20"/>
        </w:rPr>
      </w:pPr>
      <w:r w:rsidRPr="00402B5A">
        <w:rPr>
          <w:rFonts w:cs="Arial"/>
          <w:sz w:val="20"/>
        </w:rPr>
        <w:t xml:space="preserve">     6.</w:t>
      </w:r>
      <w:r w:rsidRPr="00402B5A">
        <w:rPr>
          <w:rFonts w:cs="Arial"/>
          <w:sz w:val="20"/>
        </w:rPr>
        <w:tab/>
        <w:t xml:space="preserve">  Has not been debarred, suspended, or otherwise ineligible to contract with SHA and is not included on the Excluded Parties List System (EPLS) on GSA’s SAM (System for Award Management)  </w:t>
      </w:r>
      <w:hyperlink r:id="rId12" w:history="1">
        <w:r w:rsidRPr="00402B5A">
          <w:rPr>
            <w:rFonts w:cs="Arial"/>
            <w:sz w:val="20"/>
            <w:u w:val="single"/>
          </w:rPr>
          <w:t>https://www.sam.gov/portal/public/SAM/</w:t>
        </w:r>
      </w:hyperlink>
      <w:r w:rsidRPr="00402B5A">
        <w:rPr>
          <w:rFonts w:cs="Arial"/>
          <w:sz w:val="20"/>
        </w:rPr>
        <w:t xml:space="preserve"> or the Department of Housing and </w:t>
      </w:r>
      <w:r w:rsidRPr="00402B5A">
        <w:rPr>
          <w:rFonts w:cs="Arial"/>
          <w:sz w:val="20"/>
        </w:rPr>
        <w:tab/>
        <w:t xml:space="preserve">Urban Development’s “Limited Denial of Participation” list.  This requirement also applies to the Bidder’s principals. </w:t>
      </w:r>
    </w:p>
    <w:p w14:paraId="3288B8FE" w14:textId="50454F5B" w:rsidR="008F2346" w:rsidRDefault="002563CB" w:rsidP="000752B2">
      <w:pPr>
        <w:ind w:left="630" w:hanging="360"/>
        <w:rPr>
          <w:rFonts w:cs="Arial"/>
          <w:sz w:val="20"/>
        </w:rPr>
      </w:pPr>
      <w:r>
        <w:rPr>
          <w:rFonts w:cs="Arial"/>
          <w:sz w:val="20"/>
        </w:rPr>
        <w:t xml:space="preserve">7.   </w:t>
      </w:r>
      <w:r w:rsidRPr="00F1522F">
        <w:rPr>
          <w:rFonts w:cs="Arial"/>
          <w:sz w:val="20"/>
        </w:rPr>
        <w:t>Have completed training requirements under RCW 39.04.350 and RCW 39.06.020 before bidding on public works projects as determined by the Washington State Department of Industries OR have been in business with an active Unified Business Identifier (UBI) number for 3 or more years AND have performed work on 3 or more public works projects.</w:t>
      </w:r>
    </w:p>
    <w:p w14:paraId="0E02494D" w14:textId="77777777" w:rsidR="000752B2" w:rsidRPr="00402B5A" w:rsidRDefault="000752B2" w:rsidP="000752B2">
      <w:pPr>
        <w:ind w:left="630" w:hanging="360"/>
        <w:rPr>
          <w:rFonts w:cs="Arial"/>
          <w:sz w:val="20"/>
        </w:rPr>
      </w:pPr>
    </w:p>
    <w:p w14:paraId="422DAAA9" w14:textId="3D62D249" w:rsidR="006512A8" w:rsidRPr="00402B5A" w:rsidRDefault="006512A8" w:rsidP="006512A8">
      <w:pPr>
        <w:jc w:val="both"/>
        <w:rPr>
          <w:rFonts w:cs="Arial"/>
          <w:sz w:val="20"/>
        </w:rPr>
      </w:pPr>
      <w:r w:rsidRPr="00402B5A">
        <w:rPr>
          <w:rFonts w:cs="Arial"/>
          <w:b/>
          <w:sz w:val="20"/>
          <w:u w:val="single"/>
        </w:rPr>
        <w:t>Prevailing Wages:</w:t>
      </w:r>
      <w:r w:rsidRPr="00402B5A">
        <w:rPr>
          <w:rFonts w:cs="Arial"/>
          <w:sz w:val="20"/>
        </w:rPr>
        <w:t xml:space="preserve">  The Contractor must pay all workers at least the prevailing wage rate for the type of work performed in accordance with the applicable prevailing wage rate schedule referenced on the Purchase Order or Request for Bid (by </w:t>
      </w:r>
      <w:r w:rsidR="00A11FBC">
        <w:rPr>
          <w:rFonts w:cs="Arial"/>
          <w:sz w:val="20"/>
        </w:rPr>
        <w:t>e-mail</w:t>
      </w:r>
      <w:r w:rsidRPr="00402B5A">
        <w:rPr>
          <w:rFonts w:cs="Arial"/>
          <w:sz w:val="20"/>
        </w:rPr>
        <w:t>) form and included in these solicitation documents. The type of wage schedule attached i.e., HUD Determined, Davis-Bacon, or the State Prevailing Wage schedule determines the appropriate labor standards that apply to the work as outlined below and contained in the General Conditions for Construction:</w:t>
      </w:r>
    </w:p>
    <w:p w14:paraId="6CF8ECAF" w14:textId="77777777" w:rsidR="006512A8" w:rsidRPr="00402B5A" w:rsidRDefault="006512A8" w:rsidP="006512A8">
      <w:pPr>
        <w:jc w:val="both"/>
        <w:rPr>
          <w:rFonts w:cs="Arial"/>
          <w:sz w:val="20"/>
        </w:rPr>
      </w:pPr>
    </w:p>
    <w:p w14:paraId="249CE6DE" w14:textId="77777777" w:rsidR="006512A8" w:rsidRPr="00402B5A" w:rsidRDefault="006512A8" w:rsidP="006512A8">
      <w:pPr>
        <w:pStyle w:val="ListParagraph"/>
        <w:numPr>
          <w:ilvl w:val="0"/>
          <w:numId w:val="4"/>
        </w:numPr>
        <w:jc w:val="both"/>
        <w:rPr>
          <w:rFonts w:ascii="Arial" w:hAnsi="Arial" w:cs="Arial"/>
          <w:sz w:val="20"/>
          <w:szCs w:val="20"/>
        </w:rPr>
      </w:pPr>
      <w:r w:rsidRPr="00402B5A">
        <w:rPr>
          <w:rFonts w:ascii="Arial" w:hAnsi="Arial" w:cs="Arial"/>
          <w:sz w:val="20"/>
          <w:szCs w:val="20"/>
        </w:rPr>
        <w:t>Part 11.13 for projects subject to the HUD-Determined wage rate schedule.</w:t>
      </w:r>
    </w:p>
    <w:p w14:paraId="32519EB4" w14:textId="77777777" w:rsidR="006512A8" w:rsidRPr="00402B5A" w:rsidRDefault="006512A8" w:rsidP="006512A8">
      <w:pPr>
        <w:pStyle w:val="ListParagraph"/>
        <w:numPr>
          <w:ilvl w:val="0"/>
          <w:numId w:val="4"/>
        </w:numPr>
        <w:jc w:val="both"/>
        <w:rPr>
          <w:rFonts w:ascii="Arial" w:hAnsi="Arial" w:cs="Arial"/>
          <w:sz w:val="20"/>
          <w:szCs w:val="20"/>
        </w:rPr>
      </w:pPr>
      <w:r w:rsidRPr="00402B5A">
        <w:rPr>
          <w:rFonts w:ascii="Arial" w:hAnsi="Arial" w:cs="Arial"/>
          <w:sz w:val="20"/>
          <w:szCs w:val="20"/>
        </w:rPr>
        <w:t xml:space="preserve">Part 11.12 for projects subject to Davis-Bacon wage schedule. </w:t>
      </w:r>
    </w:p>
    <w:p w14:paraId="004220E2" w14:textId="77777777" w:rsidR="006512A8" w:rsidRPr="00402B5A" w:rsidRDefault="006512A8" w:rsidP="006512A8">
      <w:pPr>
        <w:pStyle w:val="ListParagraph"/>
        <w:numPr>
          <w:ilvl w:val="0"/>
          <w:numId w:val="4"/>
        </w:numPr>
        <w:jc w:val="both"/>
        <w:rPr>
          <w:rFonts w:ascii="Arial" w:hAnsi="Arial" w:cs="Arial"/>
          <w:sz w:val="20"/>
        </w:rPr>
      </w:pPr>
      <w:r w:rsidRPr="00402B5A">
        <w:rPr>
          <w:rFonts w:ascii="Arial" w:hAnsi="Arial" w:cs="Arial"/>
          <w:sz w:val="20"/>
          <w:szCs w:val="20"/>
        </w:rPr>
        <w:t xml:space="preserve">Part 5 for projects subject to the State prevailing wage schedule. </w:t>
      </w:r>
    </w:p>
    <w:p w14:paraId="03F42824" w14:textId="77777777" w:rsidR="006512A8" w:rsidRPr="00402B5A" w:rsidRDefault="006512A8" w:rsidP="006512A8">
      <w:pPr>
        <w:pStyle w:val="ListParagraph"/>
        <w:jc w:val="both"/>
        <w:rPr>
          <w:rFonts w:ascii="Arial" w:hAnsi="Arial" w:cs="Arial"/>
          <w:sz w:val="20"/>
        </w:rPr>
      </w:pPr>
    </w:p>
    <w:p w14:paraId="48B49CBC" w14:textId="77777777" w:rsidR="006512A8" w:rsidRPr="00402B5A" w:rsidRDefault="006512A8" w:rsidP="006512A8">
      <w:pPr>
        <w:pStyle w:val="ListParagraph"/>
        <w:spacing w:after="0" w:line="240" w:lineRule="auto"/>
        <w:ind w:left="0"/>
        <w:rPr>
          <w:rFonts w:ascii="Arial" w:hAnsi="Arial" w:cs="Arial"/>
          <w:sz w:val="20"/>
        </w:rPr>
      </w:pPr>
      <w:r w:rsidRPr="00402B5A">
        <w:rPr>
          <w:rFonts w:ascii="Arial" w:hAnsi="Arial" w:cs="Arial"/>
          <w:sz w:val="20"/>
        </w:rPr>
        <w:t xml:space="preserve">As part of its compliance with the prevailing wage requirements, the Contractor and, if applicable, subcontractor(s) shall comply with the requirement to submit a Statement of Intent to Pay Prevailing Wages and Affidavit of Wages Paid forms approved by the State of Washington’s Department of Labor and Industries.  The Owner will notify the Contractor of any special filing instructions that may apply for these forms depending on the funding source(s) of the project.    </w:t>
      </w:r>
    </w:p>
    <w:p w14:paraId="53EDAE3A" w14:textId="77777777" w:rsidR="004665B2" w:rsidRPr="00402B5A" w:rsidRDefault="004665B2">
      <w:pPr>
        <w:jc w:val="both"/>
        <w:rPr>
          <w:rFonts w:cs="Arial"/>
          <w:sz w:val="20"/>
        </w:rPr>
      </w:pPr>
    </w:p>
    <w:p w14:paraId="6041B72B" w14:textId="6B29C5EF" w:rsidR="00882972" w:rsidRPr="00402B5A" w:rsidRDefault="00882972">
      <w:pPr>
        <w:jc w:val="both"/>
        <w:rPr>
          <w:rFonts w:cs="Arial"/>
          <w:b/>
          <w:sz w:val="20"/>
          <w:u w:val="single"/>
        </w:rPr>
      </w:pPr>
      <w:r w:rsidRPr="00402B5A">
        <w:rPr>
          <w:rFonts w:cs="Arial"/>
          <w:b/>
          <w:sz w:val="20"/>
          <w:u w:val="single"/>
        </w:rPr>
        <w:t>Bid Bond</w:t>
      </w:r>
      <w:r w:rsidRPr="00402B5A">
        <w:rPr>
          <w:rFonts w:cs="Arial"/>
          <w:b/>
          <w:sz w:val="20"/>
        </w:rPr>
        <w:t xml:space="preserve">:  </w:t>
      </w:r>
      <w:r w:rsidR="00207DDF" w:rsidRPr="00402B5A">
        <w:rPr>
          <w:rFonts w:cs="Arial"/>
          <w:sz w:val="20"/>
        </w:rPr>
        <w:t>SHA does not require a bid guarantee for small works roster construction projects estimated to cost $</w:t>
      </w:r>
      <w:r w:rsidR="00F1162E">
        <w:rPr>
          <w:rFonts w:cs="Arial"/>
          <w:sz w:val="20"/>
        </w:rPr>
        <w:t>2</w:t>
      </w:r>
      <w:r w:rsidR="00207DDF" w:rsidRPr="00402B5A">
        <w:rPr>
          <w:rFonts w:cs="Arial"/>
          <w:sz w:val="20"/>
        </w:rPr>
        <w:t>50,000 or less.</w:t>
      </w:r>
    </w:p>
    <w:p w14:paraId="541CCD21" w14:textId="77777777" w:rsidR="00882972" w:rsidRPr="00402B5A" w:rsidRDefault="00882972">
      <w:pPr>
        <w:jc w:val="both"/>
        <w:rPr>
          <w:rFonts w:cs="Arial"/>
          <w:sz w:val="20"/>
        </w:rPr>
      </w:pPr>
    </w:p>
    <w:p w14:paraId="6FF64307" w14:textId="77777777" w:rsidR="00DA46D1" w:rsidRPr="00402B5A" w:rsidRDefault="00DA46D1">
      <w:pPr>
        <w:rPr>
          <w:rFonts w:cs="Arial"/>
          <w:b/>
          <w:sz w:val="20"/>
          <w:u w:val="single"/>
        </w:rPr>
      </w:pPr>
      <w:r w:rsidRPr="00402B5A">
        <w:rPr>
          <w:rFonts w:cs="Arial"/>
          <w:b/>
          <w:sz w:val="20"/>
          <w:u w:val="single"/>
        </w:rPr>
        <w:br w:type="page"/>
      </w:r>
    </w:p>
    <w:p w14:paraId="55764DCA" w14:textId="77777777" w:rsidR="003F0E92" w:rsidRPr="00402B5A" w:rsidRDefault="003F0E92">
      <w:pPr>
        <w:jc w:val="both"/>
        <w:rPr>
          <w:rFonts w:cs="Arial"/>
          <w:sz w:val="20"/>
        </w:rPr>
      </w:pPr>
      <w:r w:rsidRPr="00402B5A">
        <w:rPr>
          <w:rFonts w:cs="Arial"/>
          <w:b/>
          <w:sz w:val="20"/>
          <w:u w:val="single"/>
        </w:rPr>
        <w:lastRenderedPageBreak/>
        <w:t>Insurance:</w:t>
      </w:r>
      <w:r w:rsidRPr="00402B5A">
        <w:rPr>
          <w:rFonts w:cs="Arial"/>
          <w:sz w:val="20"/>
        </w:rPr>
        <w:t xml:space="preserve">  Within seven calendar days of award, the Contractor shall submit to SHA, and maintain throughout the contract, at no expense to SHA, the following insurance coverage at the limits noted (refer to </w:t>
      </w:r>
      <w:r w:rsidR="008A33C8" w:rsidRPr="00402B5A">
        <w:rPr>
          <w:rFonts w:cs="Arial"/>
          <w:sz w:val="20"/>
        </w:rPr>
        <w:t xml:space="preserve">Part 2 of SHA’s </w:t>
      </w:r>
      <w:r w:rsidRPr="00402B5A">
        <w:rPr>
          <w:rFonts w:cs="Arial"/>
          <w:sz w:val="20"/>
        </w:rPr>
        <w:t>General Conditions for more details):</w:t>
      </w:r>
    </w:p>
    <w:p w14:paraId="36932E1A" w14:textId="77777777" w:rsidR="003F0E92" w:rsidRPr="00402B5A" w:rsidRDefault="003F0E92">
      <w:pPr>
        <w:jc w:val="both"/>
        <w:rPr>
          <w:rFonts w:cs="Arial"/>
          <w:sz w:val="20"/>
        </w:rPr>
      </w:pPr>
    </w:p>
    <w:p w14:paraId="475C6E9E" w14:textId="77777777" w:rsidR="008D0F7E" w:rsidRDefault="008D0F7E" w:rsidP="008D0F7E">
      <w:pPr>
        <w:numPr>
          <w:ilvl w:val="0"/>
          <w:numId w:val="8"/>
        </w:numPr>
        <w:jc w:val="both"/>
        <w:rPr>
          <w:rFonts w:cs="Arial"/>
          <w:sz w:val="20"/>
        </w:rPr>
      </w:pPr>
      <w:r w:rsidRPr="00100A65">
        <w:rPr>
          <w:rFonts w:cs="Arial"/>
          <w:sz w:val="20"/>
          <w:u w:val="single"/>
        </w:rPr>
        <w:t>Commercial General Liability Insurance</w:t>
      </w:r>
      <w:r w:rsidRPr="00100A65">
        <w:rPr>
          <w:rFonts w:cs="Arial"/>
          <w:sz w:val="20"/>
        </w:rPr>
        <w:t xml:space="preserve">.  $1,000,000 each occurrence, and $2,000,000 aggregate </w:t>
      </w:r>
    </w:p>
    <w:p w14:paraId="400C6EB4" w14:textId="77777777" w:rsidR="008D0F7E" w:rsidRPr="00100A65" w:rsidRDefault="008D0F7E" w:rsidP="008D0F7E">
      <w:pPr>
        <w:pStyle w:val="ListParagraph"/>
        <w:numPr>
          <w:ilvl w:val="0"/>
          <w:numId w:val="8"/>
        </w:numPr>
        <w:suppressAutoHyphens/>
        <w:spacing w:after="0" w:line="240" w:lineRule="auto"/>
        <w:contextualSpacing w:val="0"/>
        <w:rPr>
          <w:rFonts w:ascii="Arial" w:eastAsia="Times New Roman" w:hAnsi="Arial" w:cs="Arial"/>
          <w:sz w:val="20"/>
          <w:szCs w:val="20"/>
        </w:rPr>
      </w:pPr>
      <w:r w:rsidRPr="005C3FF5">
        <w:rPr>
          <w:rFonts w:ascii="Arial" w:eastAsia="Times New Roman" w:hAnsi="Arial" w:cs="Arial"/>
          <w:sz w:val="20"/>
          <w:szCs w:val="20"/>
          <w:u w:val="single"/>
        </w:rPr>
        <w:t>Additional Insured Endorsement Ongoing Operations</w:t>
      </w:r>
      <w:r w:rsidRPr="005C3FF5">
        <w:rPr>
          <w:rFonts w:ascii="Arial" w:eastAsia="Times New Roman" w:hAnsi="Arial" w:cs="Arial"/>
          <w:sz w:val="20"/>
          <w:szCs w:val="20"/>
        </w:rPr>
        <w:t xml:space="preserve">: </w:t>
      </w:r>
      <w:r w:rsidRPr="00100A65">
        <w:rPr>
          <w:rFonts w:ascii="Arial" w:eastAsia="Times New Roman" w:hAnsi="Arial" w:cs="Arial"/>
          <w:sz w:val="20"/>
          <w:szCs w:val="20"/>
        </w:rPr>
        <w:t>The Owner must be included as an Additional Insured on a primary and non-contributory basis on all Commercial General Liability policies of the Contractor.  A policy endorsement form CG2010 or equivalent must be provided to Owner as evidence of additional insured coverage.</w:t>
      </w:r>
    </w:p>
    <w:p w14:paraId="37FFB7EC" w14:textId="77777777" w:rsidR="008D0F7E" w:rsidRPr="005C3FF5" w:rsidRDefault="008D0F7E" w:rsidP="008D0F7E">
      <w:pPr>
        <w:pStyle w:val="ListParagraph"/>
        <w:numPr>
          <w:ilvl w:val="0"/>
          <w:numId w:val="8"/>
        </w:numPr>
        <w:suppressAutoHyphens/>
        <w:spacing w:after="0" w:line="240" w:lineRule="auto"/>
        <w:contextualSpacing w:val="0"/>
        <w:rPr>
          <w:rFonts w:ascii="Arial" w:eastAsia="Times New Roman" w:hAnsi="Arial" w:cs="Arial"/>
          <w:sz w:val="20"/>
          <w:szCs w:val="20"/>
        </w:rPr>
      </w:pPr>
      <w:r w:rsidRPr="005C3FF5">
        <w:rPr>
          <w:rFonts w:ascii="Arial" w:eastAsia="Times New Roman" w:hAnsi="Arial" w:cs="Arial"/>
          <w:sz w:val="20"/>
          <w:szCs w:val="20"/>
          <w:u w:val="single"/>
        </w:rPr>
        <w:t>Additional Insured Endorsement Completed Operations</w:t>
      </w:r>
      <w:r w:rsidRPr="005C3FF5">
        <w:rPr>
          <w:rFonts w:ascii="Arial" w:eastAsia="Times New Roman" w:hAnsi="Arial" w:cs="Arial"/>
          <w:sz w:val="20"/>
          <w:szCs w:val="20"/>
        </w:rPr>
        <w:t xml:space="preserve">: </w:t>
      </w:r>
      <w:r w:rsidRPr="00100A65">
        <w:rPr>
          <w:rFonts w:ascii="Arial" w:eastAsia="Times New Roman" w:hAnsi="Arial" w:cs="Arial"/>
          <w:sz w:val="20"/>
          <w:szCs w:val="20"/>
        </w:rPr>
        <w:t>The Contractor’s CGL insurance shall include the Owner as an additional insured for Contractors</w:t>
      </w:r>
      <w:r w:rsidRPr="00100A65" w:rsidDel="000C6B54">
        <w:rPr>
          <w:rFonts w:ascii="Arial" w:eastAsia="Times New Roman" w:hAnsi="Arial" w:cs="Arial"/>
          <w:sz w:val="20"/>
          <w:szCs w:val="20"/>
        </w:rPr>
        <w:t xml:space="preserve"> </w:t>
      </w:r>
      <w:r w:rsidRPr="00100A65">
        <w:rPr>
          <w:rFonts w:ascii="Arial" w:eastAsia="Times New Roman" w:hAnsi="Arial" w:cs="Arial"/>
          <w:sz w:val="20"/>
          <w:szCs w:val="20"/>
        </w:rPr>
        <w:t>Completed Operations by providing additio</w:t>
      </w:r>
      <w:r>
        <w:rPr>
          <w:rFonts w:ascii="Arial" w:eastAsia="Times New Roman" w:hAnsi="Arial" w:cs="Arial"/>
          <w:sz w:val="20"/>
          <w:szCs w:val="20"/>
        </w:rPr>
        <w:t>nal insured status on the CG20</w:t>
      </w:r>
      <w:r w:rsidRPr="00100A65">
        <w:rPr>
          <w:rFonts w:ascii="Arial" w:eastAsia="Times New Roman" w:hAnsi="Arial" w:cs="Arial"/>
          <w:sz w:val="20"/>
          <w:szCs w:val="20"/>
        </w:rPr>
        <w:t xml:space="preserve">37 endorsement, or by an equivalent policy or endorsement provision. The Contractors Completed Operations additional insured status for the Owner shall remain in effect for not less than three (3) years following the Final Acceptance of the Work by the Owner. </w:t>
      </w:r>
    </w:p>
    <w:p w14:paraId="683FABFA" w14:textId="77777777" w:rsidR="008D0F7E" w:rsidRPr="00100A65" w:rsidRDefault="008D0F7E" w:rsidP="008D0F7E">
      <w:pPr>
        <w:numPr>
          <w:ilvl w:val="0"/>
          <w:numId w:val="8"/>
        </w:numPr>
        <w:jc w:val="both"/>
        <w:rPr>
          <w:rFonts w:cs="Arial"/>
          <w:sz w:val="20"/>
        </w:rPr>
      </w:pPr>
      <w:r w:rsidRPr="00100A65">
        <w:rPr>
          <w:rFonts w:cs="Arial"/>
          <w:sz w:val="20"/>
          <w:u w:val="single"/>
        </w:rPr>
        <w:t xml:space="preserve">Employers Liability policy or </w:t>
      </w:r>
      <w:smartTag w:uri="urn:schemas-microsoft-com:office:smarttags" w:element="State">
        <w:smartTag w:uri="urn:schemas-microsoft-com:office:smarttags" w:element="place">
          <w:r w:rsidRPr="00100A65">
            <w:rPr>
              <w:rFonts w:cs="Arial"/>
              <w:sz w:val="20"/>
              <w:u w:val="single"/>
            </w:rPr>
            <w:t>Washington</w:t>
          </w:r>
        </w:smartTag>
      </w:smartTag>
      <w:r w:rsidRPr="00100A65">
        <w:rPr>
          <w:rFonts w:cs="Arial"/>
          <w:sz w:val="20"/>
          <w:u w:val="single"/>
        </w:rPr>
        <w:t xml:space="preserve"> Stop Gap Liability insurance endorsement:</w:t>
      </w:r>
      <w:r w:rsidRPr="00100A65">
        <w:rPr>
          <w:rFonts w:cs="Arial"/>
          <w:sz w:val="20"/>
        </w:rPr>
        <w:t xml:space="preserve"> $1,000,000 each accident</w:t>
      </w:r>
    </w:p>
    <w:p w14:paraId="6DB58E74" w14:textId="77777777" w:rsidR="008D0F7E" w:rsidRDefault="008D0F7E" w:rsidP="008D0F7E">
      <w:pPr>
        <w:numPr>
          <w:ilvl w:val="0"/>
          <w:numId w:val="8"/>
        </w:numPr>
        <w:jc w:val="both"/>
        <w:rPr>
          <w:rFonts w:cs="Arial"/>
          <w:sz w:val="20"/>
        </w:rPr>
      </w:pPr>
      <w:r w:rsidRPr="00100A65">
        <w:rPr>
          <w:rFonts w:cs="Arial"/>
          <w:sz w:val="20"/>
          <w:u w:val="single"/>
        </w:rPr>
        <w:t>Workers Compensation coverage</w:t>
      </w:r>
      <w:r w:rsidRPr="00100A65">
        <w:rPr>
          <w:rFonts w:cs="Arial"/>
          <w:sz w:val="20"/>
        </w:rPr>
        <w:t>.</w:t>
      </w:r>
    </w:p>
    <w:p w14:paraId="6926E2E9" w14:textId="77777777" w:rsidR="008D0F7E" w:rsidRPr="005C3FF5" w:rsidRDefault="008D0F7E" w:rsidP="008D0F7E">
      <w:pPr>
        <w:numPr>
          <w:ilvl w:val="0"/>
          <w:numId w:val="8"/>
        </w:numPr>
        <w:jc w:val="both"/>
        <w:rPr>
          <w:rFonts w:cs="Arial"/>
          <w:sz w:val="20"/>
        </w:rPr>
      </w:pPr>
      <w:r w:rsidRPr="00100A65">
        <w:rPr>
          <w:rFonts w:cs="Arial"/>
          <w:sz w:val="20"/>
          <w:u w:val="single"/>
        </w:rPr>
        <w:t>Commercial Automobile Liability Insurance.</w:t>
      </w:r>
      <w:r w:rsidRPr="00100A65">
        <w:rPr>
          <w:rFonts w:cs="Arial"/>
          <w:sz w:val="20"/>
        </w:rPr>
        <w:t xml:space="preserve">  $1,000,000 combined single limit coverage </w:t>
      </w:r>
    </w:p>
    <w:p w14:paraId="13DBFEB5" w14:textId="77777777" w:rsidR="008D0F7E" w:rsidRPr="00100A65" w:rsidRDefault="008D0F7E" w:rsidP="008D0F7E">
      <w:pPr>
        <w:numPr>
          <w:ilvl w:val="0"/>
          <w:numId w:val="8"/>
        </w:numPr>
        <w:jc w:val="both"/>
        <w:rPr>
          <w:rFonts w:cs="Arial"/>
          <w:sz w:val="20"/>
        </w:rPr>
      </w:pPr>
      <w:r w:rsidRPr="00100A65">
        <w:rPr>
          <w:rFonts w:cs="Arial"/>
          <w:sz w:val="20"/>
          <w:u w:val="single"/>
        </w:rPr>
        <w:t>Pollution Liability Insurance</w:t>
      </w:r>
      <w:r w:rsidRPr="00100A65">
        <w:rPr>
          <w:rFonts w:cs="Arial"/>
          <w:sz w:val="20"/>
        </w:rPr>
        <w:t>: $1,000,000 combined single limit coverage, if the work involves handling or disposal of asbestos, lead-based paint, contaminated soil, or other hazardous materials.</w:t>
      </w:r>
    </w:p>
    <w:p w14:paraId="79C7151B" w14:textId="77777777" w:rsidR="003F0E92" w:rsidRPr="00402B5A" w:rsidRDefault="003F0E92">
      <w:pPr>
        <w:jc w:val="both"/>
        <w:rPr>
          <w:rFonts w:cs="Arial"/>
          <w:sz w:val="20"/>
        </w:rPr>
      </w:pPr>
    </w:p>
    <w:p w14:paraId="6581A537" w14:textId="77777777" w:rsidR="004665B2" w:rsidRPr="00402B5A" w:rsidRDefault="00FE6EF4" w:rsidP="00D10C53">
      <w:pPr>
        <w:tabs>
          <w:tab w:val="left" w:pos="270"/>
          <w:tab w:val="left" w:pos="540"/>
        </w:tabs>
        <w:rPr>
          <w:rFonts w:cs="Arial"/>
          <w:sz w:val="20"/>
        </w:rPr>
      </w:pPr>
      <w:r w:rsidRPr="00402B5A">
        <w:rPr>
          <w:rFonts w:cs="Arial"/>
          <w:b/>
          <w:sz w:val="20"/>
          <w:u w:val="single"/>
        </w:rPr>
        <w:t xml:space="preserve">Performance &amp; </w:t>
      </w:r>
      <w:r w:rsidR="0022278E" w:rsidRPr="00402B5A">
        <w:rPr>
          <w:rFonts w:cs="Arial"/>
          <w:b/>
          <w:sz w:val="20"/>
          <w:u w:val="single"/>
        </w:rPr>
        <w:t>Payment Bond Requirements</w:t>
      </w:r>
      <w:r w:rsidR="00D10C53" w:rsidRPr="00402B5A">
        <w:rPr>
          <w:rFonts w:cs="Arial"/>
          <w:b/>
          <w:sz w:val="20"/>
        </w:rPr>
        <w:t xml:space="preserve">:  </w:t>
      </w:r>
      <w:r w:rsidR="00D10C53" w:rsidRPr="00402B5A">
        <w:rPr>
          <w:rFonts w:cs="Arial"/>
          <w:sz w:val="20"/>
        </w:rPr>
        <w:t xml:space="preserve">Within seven calendar days of award, the Contractor shall submit to SHA, </w:t>
      </w:r>
      <w:r w:rsidR="00E52FCE">
        <w:rPr>
          <w:rFonts w:cs="Arial"/>
          <w:sz w:val="20"/>
        </w:rPr>
        <w:t>in accordance with Section 2.05</w:t>
      </w:r>
      <w:r w:rsidR="0022278E" w:rsidRPr="00402B5A">
        <w:rPr>
          <w:rFonts w:cs="Arial"/>
          <w:sz w:val="20"/>
        </w:rPr>
        <w:t xml:space="preserve"> of the General Conditions, a Performance and Payment bond.  Failure to furnish a Performance and Payment bond within the time specified may render the Contractor ineligible for </w:t>
      </w:r>
      <w:r w:rsidR="00D10C53" w:rsidRPr="00402B5A">
        <w:rPr>
          <w:rFonts w:cs="Arial"/>
          <w:sz w:val="20"/>
        </w:rPr>
        <w:t>the contract</w:t>
      </w:r>
      <w:r w:rsidR="0022278E" w:rsidRPr="00402B5A">
        <w:rPr>
          <w:rFonts w:cs="Arial"/>
          <w:sz w:val="20"/>
        </w:rPr>
        <w:t xml:space="preserve">.  The SHA may then either award the contract to the next lowest responsible bidder or solicit new bids.  </w:t>
      </w:r>
    </w:p>
    <w:p w14:paraId="39AC2B4A" w14:textId="77777777" w:rsidR="004665B2" w:rsidRPr="00402B5A" w:rsidRDefault="004665B2">
      <w:pPr>
        <w:jc w:val="both"/>
        <w:rPr>
          <w:rFonts w:cs="Arial"/>
          <w:sz w:val="20"/>
        </w:rPr>
      </w:pPr>
    </w:p>
    <w:p w14:paraId="1D057679" w14:textId="77777777" w:rsidR="008210B7" w:rsidRPr="00402B5A" w:rsidRDefault="008210B7">
      <w:pPr>
        <w:jc w:val="both"/>
        <w:rPr>
          <w:rFonts w:cs="Arial"/>
          <w:sz w:val="20"/>
          <w:u w:val="single"/>
        </w:rPr>
      </w:pPr>
      <w:r w:rsidRPr="00402B5A">
        <w:rPr>
          <w:rFonts w:cs="Arial"/>
          <w:b/>
          <w:sz w:val="20"/>
          <w:u w:val="single"/>
        </w:rPr>
        <w:t>Retainage Requirements</w:t>
      </w:r>
      <w:r w:rsidRPr="00402B5A">
        <w:rPr>
          <w:rFonts w:cs="Arial"/>
          <w:b/>
          <w:sz w:val="20"/>
        </w:rPr>
        <w:t xml:space="preserve">: </w:t>
      </w:r>
      <w:r w:rsidR="00324F06" w:rsidRPr="00402B5A">
        <w:rPr>
          <w:rFonts w:cs="Arial"/>
          <w:sz w:val="20"/>
        </w:rPr>
        <w:t xml:space="preserve">SHA requires retainage to be withheld for small works roster construction projects costing $35,000 or more. </w:t>
      </w:r>
    </w:p>
    <w:p w14:paraId="759EC975" w14:textId="77777777" w:rsidR="008210B7" w:rsidRPr="00402B5A" w:rsidRDefault="008210B7">
      <w:pPr>
        <w:jc w:val="both"/>
        <w:rPr>
          <w:rFonts w:cs="Arial"/>
          <w:sz w:val="20"/>
        </w:rPr>
      </w:pPr>
    </w:p>
    <w:p w14:paraId="67A394F9" w14:textId="7E5B21D8" w:rsidR="00810AFE" w:rsidRDefault="003F0E92" w:rsidP="00810AFE">
      <w:pPr>
        <w:jc w:val="both"/>
        <w:rPr>
          <w:sz w:val="20"/>
        </w:rPr>
      </w:pPr>
      <w:r w:rsidRPr="00402B5A">
        <w:rPr>
          <w:rFonts w:cs="Arial"/>
          <w:b/>
          <w:sz w:val="20"/>
          <w:u w:val="single"/>
        </w:rPr>
        <w:t>Tax Exempt Status of SHA:</w:t>
      </w:r>
      <w:r w:rsidRPr="00402B5A">
        <w:rPr>
          <w:rFonts w:cs="Arial"/>
          <w:sz w:val="20"/>
        </w:rPr>
        <w:t xml:space="preserve">  </w:t>
      </w:r>
      <w:r w:rsidR="00810AFE">
        <w:rPr>
          <w:sz w:val="20"/>
        </w:rPr>
        <w:t xml:space="preserve">Pursuant to State law (RCW 35.82.210), SHA is exempt from paying sales tax when it obtains goods and services </w:t>
      </w:r>
      <w:r w:rsidR="00810AFE" w:rsidRPr="00EC1B76">
        <w:rPr>
          <w:sz w:val="20"/>
        </w:rPr>
        <w:t>directly</w:t>
      </w:r>
      <w:r w:rsidR="00810AFE">
        <w:rPr>
          <w:sz w:val="20"/>
        </w:rPr>
        <w:t xml:space="preserve"> from the Contractor.  The Contractor must pay sales tax on materials purchased for this job. SHA does not pay sales tax for labor and services r</w:t>
      </w:r>
      <w:r w:rsidR="00810AFE" w:rsidRPr="00EC1B76">
        <w:rPr>
          <w:sz w:val="20"/>
        </w:rPr>
        <w:t>endered.</w:t>
      </w:r>
    </w:p>
    <w:p w14:paraId="0996FDE3" w14:textId="77777777" w:rsidR="00810AFE" w:rsidRDefault="00810AFE" w:rsidP="00810AFE">
      <w:pPr>
        <w:jc w:val="both"/>
        <w:rPr>
          <w:sz w:val="20"/>
        </w:rPr>
      </w:pPr>
    </w:p>
    <w:p w14:paraId="2D8DFA0E" w14:textId="7C0F62F6" w:rsidR="00D0452B" w:rsidRDefault="00D0452B" w:rsidP="00D0452B">
      <w:pPr>
        <w:pStyle w:val="paragraph"/>
        <w:jc w:val="both"/>
        <w:textAlignment w:val="baseline"/>
      </w:pPr>
      <w:r>
        <w:rPr>
          <w:rStyle w:val="normaltextrun1"/>
          <w:rFonts w:ascii="Arial" w:hAnsi="Arial" w:cs="Arial"/>
          <w:b/>
          <w:bCs/>
          <w:sz w:val="20"/>
          <w:szCs w:val="20"/>
          <w:u w:val="single"/>
        </w:rPr>
        <w:t>Protests:</w:t>
      </w:r>
      <w:r>
        <w:rPr>
          <w:rStyle w:val="normaltextrun1"/>
          <w:rFonts w:ascii="Arial" w:hAnsi="Arial" w:cs="Arial"/>
          <w:sz w:val="20"/>
          <w:szCs w:val="20"/>
        </w:rPr>
        <w:t xml:space="preserve"> Any protest of award shall be resolved in accordance with SHA’s Procurement Policies, which may be reviewed at </w:t>
      </w:r>
      <w:hyperlink r:id="rId13" w:tgtFrame="_blank" w:history="1">
        <w:r>
          <w:rPr>
            <w:rStyle w:val="normaltextrun1"/>
            <w:rFonts w:ascii="Arial" w:hAnsi="Arial" w:cs="Arial"/>
            <w:color w:val="0000FF"/>
            <w:sz w:val="20"/>
            <w:szCs w:val="20"/>
            <w:u w:val="single"/>
          </w:rPr>
          <w:t>SHA</w:t>
        </w:r>
        <w:r w:rsidRPr="00A77AEC">
          <w:rPr>
            <w:rStyle w:val="normaltextrun1"/>
            <w:rFonts w:ascii="Arial" w:hAnsi="Arial" w:cs="Arial"/>
            <w:color w:val="0000FF"/>
            <w:sz w:val="20"/>
            <w:szCs w:val="20"/>
            <w:u w:val="single"/>
          </w:rPr>
          <w:t xml:space="preserve"> website</w:t>
        </w:r>
      </w:hyperlink>
      <w:r w:rsidRPr="00A77AEC">
        <w:rPr>
          <w:rStyle w:val="normaltextrun1"/>
          <w:rFonts w:ascii="Arial" w:hAnsi="Arial" w:cs="Arial"/>
          <w:color w:val="0000FF"/>
          <w:sz w:val="20"/>
          <w:szCs w:val="20"/>
          <w:u w:val="single"/>
        </w:rPr>
        <w:t>.</w:t>
      </w:r>
    </w:p>
    <w:p w14:paraId="3ABEAC03" w14:textId="77777777" w:rsidR="00D0452B" w:rsidRDefault="00D0452B" w:rsidP="00D0452B">
      <w:pPr>
        <w:pStyle w:val="paragraph"/>
        <w:jc w:val="both"/>
        <w:textAlignment w:val="baseline"/>
      </w:pPr>
      <w:r>
        <w:t> </w:t>
      </w:r>
    </w:p>
    <w:p w14:paraId="3FD9C4C5" w14:textId="4C6A2E91" w:rsidR="00D0452B" w:rsidRDefault="00D0452B" w:rsidP="00D0452B">
      <w:pPr>
        <w:pStyle w:val="paragraph"/>
        <w:textAlignment w:val="baseline"/>
      </w:pPr>
      <w:r>
        <w:rPr>
          <w:rStyle w:val="normaltextrun1"/>
          <w:rFonts w:ascii="Arial" w:hAnsi="Arial" w:cs="Arial"/>
          <w:b/>
          <w:bCs/>
          <w:sz w:val="20"/>
          <w:szCs w:val="20"/>
          <w:u w:val="single"/>
        </w:rPr>
        <w:t>General Conditions:</w:t>
      </w:r>
      <w:r>
        <w:rPr>
          <w:rStyle w:val="normaltextrun1"/>
          <w:rFonts w:ascii="Arial" w:hAnsi="Arial" w:cs="Arial"/>
          <w:sz w:val="20"/>
          <w:szCs w:val="20"/>
        </w:rPr>
        <w:t xml:space="preserve"> SHA’s General Conditions are hereby incorporated by reference and made a part of this Request for Bid (by </w:t>
      </w:r>
      <w:r w:rsidR="0040449B">
        <w:rPr>
          <w:rStyle w:val="normaltextrun1"/>
          <w:rFonts w:ascii="Arial" w:hAnsi="Arial" w:cs="Arial"/>
          <w:sz w:val="20"/>
          <w:szCs w:val="20"/>
        </w:rPr>
        <w:t>e-mail</w:t>
      </w:r>
      <w:r>
        <w:rPr>
          <w:rStyle w:val="normaltextrun1"/>
          <w:rFonts w:ascii="Arial" w:hAnsi="Arial" w:cs="Arial"/>
          <w:sz w:val="20"/>
          <w:szCs w:val="20"/>
        </w:rPr>
        <w:t xml:space="preserve">) and any subsequent contract or purchase order executed for this work as if fully included herein.  If the event of any discrepancy between the terms of this Attachment A and the General Conditions, the terms of the General Conditions shall apply, except that the types and amounts of insurance specified above, and the waiver of the Contract Bond and withholding of retainage specified above, shall take precedence over the General Conditions.  The General Conditions may be viewed by accessing </w:t>
      </w:r>
      <w:hyperlink r:id="rId14" w:tgtFrame="_blank" w:history="1">
        <w:r>
          <w:rPr>
            <w:rStyle w:val="normaltextrun1"/>
            <w:rFonts w:ascii="Arial" w:hAnsi="Arial" w:cs="Arial"/>
            <w:color w:val="0000FF"/>
            <w:sz w:val="20"/>
            <w:szCs w:val="20"/>
            <w:u w:val="single"/>
          </w:rPr>
          <w:t>SHA</w:t>
        </w:r>
        <w:r w:rsidRPr="00A77AEC">
          <w:rPr>
            <w:rStyle w:val="normaltextrun1"/>
            <w:rFonts w:ascii="Arial" w:hAnsi="Arial" w:cs="Arial"/>
            <w:color w:val="0000FF"/>
            <w:sz w:val="20"/>
            <w:szCs w:val="20"/>
            <w:u w:val="single"/>
          </w:rPr>
          <w:t xml:space="preserve"> website</w:t>
        </w:r>
      </w:hyperlink>
      <w:r>
        <w:rPr>
          <w:rStyle w:val="normaltextrun1"/>
          <w:rFonts w:ascii="Arial" w:hAnsi="Arial" w:cs="Arial"/>
          <w:color w:val="000000"/>
          <w:sz w:val="20"/>
          <w:szCs w:val="20"/>
        </w:rPr>
        <w:t xml:space="preserve">, </w:t>
      </w:r>
      <w:r>
        <w:rPr>
          <w:rStyle w:val="normaltextrun1"/>
          <w:rFonts w:ascii="Arial" w:hAnsi="Arial" w:cs="Arial"/>
          <w:sz w:val="20"/>
          <w:szCs w:val="20"/>
        </w:rPr>
        <w:t>or upon request, a copy of the General Conditions may be obtained by calling SHA at (206) 615-3379.</w:t>
      </w:r>
    </w:p>
    <w:p w14:paraId="205E9B46" w14:textId="311F0078" w:rsidR="00D0452B" w:rsidRDefault="00D0452B" w:rsidP="00D0452B">
      <w:pPr>
        <w:pStyle w:val="paragraph"/>
        <w:textAlignment w:val="baseline"/>
      </w:pPr>
    </w:p>
    <w:p w14:paraId="6877A0DF" w14:textId="5316B0EC" w:rsidR="00D0452B" w:rsidRDefault="00D0452B" w:rsidP="00D0452B">
      <w:pPr>
        <w:pStyle w:val="paragraph"/>
        <w:jc w:val="both"/>
        <w:textAlignment w:val="baseline"/>
      </w:pPr>
      <w:r>
        <w:rPr>
          <w:rStyle w:val="normaltextrun1"/>
          <w:rFonts w:ascii="Arial" w:hAnsi="Arial" w:cs="Arial"/>
          <w:b/>
          <w:bCs/>
          <w:sz w:val="20"/>
          <w:szCs w:val="20"/>
          <w:u w:val="single"/>
        </w:rPr>
        <w:t>Performance Evaluation:</w:t>
      </w:r>
      <w:r>
        <w:rPr>
          <w:rStyle w:val="normaltextrun1"/>
          <w:rFonts w:ascii="Arial" w:hAnsi="Arial" w:cs="Arial"/>
          <w:sz w:val="20"/>
          <w:szCs w:val="20"/>
        </w:rPr>
        <w:t xml:space="preserve"> The Contractor’s performance on this project will be evaluated in accordance with SHA’s Contractor Performance Evaluation Program. A copy of the Program may be obtained by accessing </w:t>
      </w:r>
      <w:hyperlink r:id="rId15" w:tgtFrame="_blank" w:history="1">
        <w:r w:rsidRPr="00A77AEC">
          <w:rPr>
            <w:rStyle w:val="normaltextrun1"/>
            <w:rFonts w:ascii="Arial" w:hAnsi="Arial" w:cs="Arial"/>
            <w:color w:val="0000FF"/>
            <w:sz w:val="20"/>
            <w:szCs w:val="20"/>
            <w:u w:val="single"/>
          </w:rPr>
          <w:t>SHA website</w:t>
        </w:r>
      </w:hyperlink>
      <w:r w:rsidRPr="00A77AEC">
        <w:rPr>
          <w:rStyle w:val="normaltextrun1"/>
          <w:rFonts w:ascii="Arial" w:hAnsi="Arial" w:cs="Arial"/>
          <w:sz w:val="20"/>
          <w:szCs w:val="20"/>
        </w:rPr>
        <w:t>.</w:t>
      </w:r>
    </w:p>
    <w:p w14:paraId="5063800D" w14:textId="77777777" w:rsidR="000D738C" w:rsidRPr="00402B5A" w:rsidRDefault="000D738C">
      <w:pPr>
        <w:jc w:val="both"/>
        <w:rPr>
          <w:rFonts w:cs="Arial"/>
          <w:sz w:val="20"/>
        </w:rPr>
      </w:pPr>
    </w:p>
    <w:p w14:paraId="4E13D391" w14:textId="63217B88" w:rsidR="002B24FE" w:rsidRPr="00402B5A" w:rsidRDefault="002B24FE" w:rsidP="00E16C1E">
      <w:pPr>
        <w:jc w:val="both"/>
        <w:rPr>
          <w:rFonts w:cs="Arial"/>
          <w:sz w:val="20"/>
        </w:rPr>
      </w:pPr>
      <w:r w:rsidRPr="00402B5A">
        <w:rPr>
          <w:rFonts w:cs="Arial"/>
          <w:b/>
          <w:sz w:val="20"/>
          <w:u w:val="single"/>
        </w:rPr>
        <w:t>Section 3:</w:t>
      </w:r>
      <w:r w:rsidRPr="00402B5A">
        <w:rPr>
          <w:rFonts w:cs="Arial"/>
          <w:sz w:val="20"/>
        </w:rPr>
        <w:t xml:space="preserve"> </w:t>
      </w:r>
      <w:r w:rsidR="00513713" w:rsidRPr="00513713">
        <w:rPr>
          <w:sz w:val="20"/>
        </w:rPr>
        <w:t>Section 3 is a provision of the Housing and Urban Development Act of 1968. The purpose of Section 3 is to ensure that employment and other economic opportunities generated by certain HUD financial assistance shall, to the greatest extent feasible, and consistent with existing Federal, State, and local laws and regulations, be directed to low- and very low-income persons, particularly those who are recipients of government assistance for housing, and to business concerns which provide economic opportunities to low- and very low-income persons</w:t>
      </w:r>
      <w:r w:rsidR="00E16C1E">
        <w:rPr>
          <w:sz w:val="20"/>
        </w:rPr>
        <w:t xml:space="preserve">.  </w:t>
      </w:r>
      <w:r w:rsidRPr="00402B5A">
        <w:rPr>
          <w:rFonts w:cs="Arial"/>
          <w:sz w:val="20"/>
        </w:rPr>
        <w:t xml:space="preserve">Each bidder is required to submit </w:t>
      </w:r>
      <w:r w:rsidR="002200CE" w:rsidRPr="00402B5A">
        <w:rPr>
          <w:rFonts w:cs="Arial"/>
          <w:sz w:val="20"/>
        </w:rPr>
        <w:t>with</w:t>
      </w:r>
      <w:r w:rsidR="00124FDC" w:rsidRPr="00402B5A">
        <w:rPr>
          <w:rFonts w:cs="Arial"/>
          <w:sz w:val="20"/>
        </w:rPr>
        <w:t xml:space="preserve"> its Bid</w:t>
      </w:r>
      <w:r w:rsidRPr="00402B5A">
        <w:rPr>
          <w:rFonts w:cs="Arial"/>
          <w:sz w:val="20"/>
        </w:rPr>
        <w:t xml:space="preserve"> a Section 3 Business Certification form.  Failure to complete th</w:t>
      </w:r>
      <w:r w:rsidR="00FE6394">
        <w:rPr>
          <w:rFonts w:cs="Arial"/>
          <w:sz w:val="20"/>
        </w:rPr>
        <w:t>is</w:t>
      </w:r>
      <w:r w:rsidRPr="00402B5A">
        <w:rPr>
          <w:rFonts w:cs="Arial"/>
          <w:sz w:val="20"/>
        </w:rPr>
        <w:t xml:space="preserve"> form may render a bid non-responsive.</w:t>
      </w:r>
    </w:p>
    <w:p w14:paraId="69A8355E" w14:textId="77777777" w:rsidR="002B24FE" w:rsidRPr="00402B5A" w:rsidRDefault="002B24FE" w:rsidP="002B24FE">
      <w:pPr>
        <w:jc w:val="both"/>
        <w:rPr>
          <w:rFonts w:cs="Arial"/>
          <w:sz w:val="20"/>
        </w:rPr>
      </w:pPr>
    </w:p>
    <w:p w14:paraId="7514533A" w14:textId="673F560E" w:rsidR="002B24FE" w:rsidRPr="00402B5A" w:rsidRDefault="002B24FE" w:rsidP="002B24FE">
      <w:pPr>
        <w:numPr>
          <w:ilvl w:val="0"/>
          <w:numId w:val="3"/>
        </w:numPr>
        <w:jc w:val="both"/>
        <w:rPr>
          <w:rFonts w:cs="Arial"/>
          <w:sz w:val="20"/>
        </w:rPr>
      </w:pPr>
      <w:r w:rsidRPr="00402B5A">
        <w:rPr>
          <w:rFonts w:cs="Arial"/>
          <w:sz w:val="20"/>
          <w:u w:val="single"/>
        </w:rPr>
        <w:lastRenderedPageBreak/>
        <w:t>Section 3 Contract Language:</w:t>
      </w:r>
      <w:r w:rsidRPr="00402B5A">
        <w:rPr>
          <w:rFonts w:cs="Arial"/>
          <w:sz w:val="20"/>
        </w:rPr>
        <w:t xml:space="preserve">  The following language regarding Section 3 will be included as part of the contract to be executed based on this </w:t>
      </w:r>
      <w:r w:rsidR="003E4A4B" w:rsidRPr="00402B5A">
        <w:rPr>
          <w:rFonts w:cs="Arial"/>
          <w:sz w:val="20"/>
        </w:rPr>
        <w:t>solicitation</w:t>
      </w:r>
      <w:r w:rsidR="00513713">
        <w:rPr>
          <w:rFonts w:cs="Arial"/>
          <w:sz w:val="20"/>
        </w:rPr>
        <w:t>:</w:t>
      </w:r>
    </w:p>
    <w:p w14:paraId="27C9D07B" w14:textId="77777777" w:rsidR="002B24FE" w:rsidRPr="00402B5A" w:rsidRDefault="002B24FE" w:rsidP="002B24FE">
      <w:pPr>
        <w:pStyle w:val="Body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cs="Arial"/>
          <w:sz w:val="18"/>
        </w:rPr>
      </w:pPr>
    </w:p>
    <w:p w14:paraId="1B43BAF6" w14:textId="4D34849B" w:rsidR="00513713" w:rsidRDefault="00513713" w:rsidP="006F2A8F">
      <w:pPr>
        <w:pStyle w:val="BodyTextIndent2"/>
        <w:spacing w:after="0" w:line="240" w:lineRule="auto"/>
        <w:ind w:left="720"/>
        <w:jc w:val="both"/>
        <w:rPr>
          <w:rFonts w:cs="Arial"/>
          <w:sz w:val="20"/>
        </w:rPr>
      </w:pPr>
      <w:bookmarkStart w:id="0" w:name="_Hlk96598362"/>
      <w:r w:rsidRPr="006F2A8F">
        <w:rPr>
          <w:rFonts w:cs="Arial"/>
          <w:sz w:val="20"/>
        </w:rPr>
        <w:t>Con</w:t>
      </w:r>
      <w:r>
        <w:rPr>
          <w:rFonts w:cs="Arial"/>
          <w:sz w:val="20"/>
        </w:rPr>
        <w:t>tractor</w:t>
      </w:r>
      <w:r w:rsidRPr="006F2A8F">
        <w:rPr>
          <w:rFonts w:cs="Arial"/>
          <w:sz w:val="20"/>
        </w:rPr>
        <w:t xml:space="preserve"> will comply with Section 3 of the Housing and Urban Development Act of 1968, 12 U.S.C. 1701u, and its implementing regulations set forth at 24 CFR 75 (as each of the same has been or may be amended, modified, or replaced from time to time, and including any successor statutes or regulations, collectively, “Section 3”), and with this Section.</w:t>
      </w:r>
    </w:p>
    <w:p w14:paraId="72D0042C" w14:textId="77777777" w:rsidR="000752B2" w:rsidRPr="006F2A8F" w:rsidRDefault="000752B2" w:rsidP="006F2A8F">
      <w:pPr>
        <w:pStyle w:val="BodyTextIndent2"/>
        <w:spacing w:after="0" w:line="240" w:lineRule="auto"/>
        <w:ind w:left="720"/>
        <w:jc w:val="both"/>
        <w:rPr>
          <w:rFonts w:cs="Arial"/>
          <w:sz w:val="20"/>
        </w:rPr>
      </w:pPr>
    </w:p>
    <w:p w14:paraId="08C80AB8" w14:textId="77777777" w:rsidR="00513713" w:rsidRPr="006F2A8F" w:rsidRDefault="00513713" w:rsidP="00513713">
      <w:pPr>
        <w:numPr>
          <w:ilvl w:val="0"/>
          <w:numId w:val="10"/>
        </w:numPr>
        <w:jc w:val="both"/>
        <w:rPr>
          <w:rFonts w:cs="Arial"/>
          <w:sz w:val="20"/>
        </w:rPr>
      </w:pPr>
      <w:r w:rsidRPr="006F2A8F">
        <w:rPr>
          <w:rFonts w:cs="Arial"/>
          <w:sz w:val="20"/>
        </w:rPr>
        <w:t xml:space="preserve">The work to be performed under this Contract is subject to the requirements of Section 3.  </w:t>
      </w:r>
    </w:p>
    <w:p w14:paraId="7D4FE3E5" w14:textId="77777777" w:rsidR="00513713" w:rsidRPr="006F2A8F" w:rsidRDefault="00513713" w:rsidP="00513713">
      <w:pPr>
        <w:jc w:val="both"/>
        <w:rPr>
          <w:rFonts w:cs="Arial"/>
          <w:smallCaps/>
          <w:sz w:val="20"/>
        </w:rPr>
      </w:pPr>
    </w:p>
    <w:p w14:paraId="7CE6CB16" w14:textId="219A77B3" w:rsidR="00513713" w:rsidRPr="006F2A8F" w:rsidRDefault="00513713" w:rsidP="00513713">
      <w:pPr>
        <w:numPr>
          <w:ilvl w:val="0"/>
          <w:numId w:val="10"/>
        </w:numPr>
        <w:jc w:val="both"/>
        <w:rPr>
          <w:rFonts w:cs="Arial"/>
          <w:smallCaps/>
          <w:sz w:val="20"/>
        </w:rPr>
      </w:pPr>
      <w:r w:rsidRPr="006F2A8F">
        <w:rPr>
          <w:rFonts w:cs="Arial"/>
          <w:sz w:val="20"/>
        </w:rPr>
        <w:t>Con</w:t>
      </w:r>
      <w:r>
        <w:rPr>
          <w:rFonts w:cs="Arial"/>
          <w:sz w:val="20"/>
        </w:rPr>
        <w:t>tractor</w:t>
      </w:r>
      <w:r w:rsidRPr="006F2A8F">
        <w:rPr>
          <w:rFonts w:cs="Arial"/>
          <w:sz w:val="20"/>
        </w:rPr>
        <w:t xml:space="preserve"> will require its subcontractors to comply with Section 3.  As evidenced by its execution of this Contract, Con</w:t>
      </w:r>
      <w:r>
        <w:rPr>
          <w:rFonts w:cs="Arial"/>
          <w:sz w:val="20"/>
        </w:rPr>
        <w:t>tractor</w:t>
      </w:r>
      <w:r w:rsidRPr="006F2A8F">
        <w:rPr>
          <w:rFonts w:cs="Arial"/>
          <w:sz w:val="20"/>
        </w:rPr>
        <w:t xml:space="preserve"> certifies that it is under no contractual or other impediment that would prevent it from complying with Section 3.</w:t>
      </w:r>
    </w:p>
    <w:p w14:paraId="3D0A17C8" w14:textId="77777777" w:rsidR="00513713" w:rsidRPr="006F2A8F" w:rsidRDefault="00513713" w:rsidP="00513713">
      <w:pPr>
        <w:jc w:val="both"/>
        <w:rPr>
          <w:rFonts w:cs="Arial"/>
          <w:smallCaps/>
          <w:sz w:val="20"/>
        </w:rPr>
      </w:pPr>
    </w:p>
    <w:p w14:paraId="473F392F" w14:textId="17C3BFBD" w:rsidR="00513713" w:rsidRPr="006F2A8F" w:rsidRDefault="00513713" w:rsidP="00513713">
      <w:pPr>
        <w:numPr>
          <w:ilvl w:val="0"/>
          <w:numId w:val="10"/>
        </w:numPr>
        <w:jc w:val="both"/>
        <w:rPr>
          <w:rFonts w:cs="Arial"/>
          <w:smallCaps/>
          <w:sz w:val="20"/>
        </w:rPr>
      </w:pPr>
      <w:r w:rsidRPr="006F2A8F">
        <w:rPr>
          <w:rFonts w:cs="Arial"/>
          <w:sz w:val="20"/>
        </w:rPr>
        <w:t>Con</w:t>
      </w:r>
      <w:r>
        <w:rPr>
          <w:rFonts w:cs="Arial"/>
          <w:sz w:val="20"/>
        </w:rPr>
        <w:t>tractor</w:t>
      </w:r>
      <w:r w:rsidRPr="006F2A8F">
        <w:rPr>
          <w:rFonts w:cs="Arial"/>
          <w:sz w:val="20"/>
        </w:rPr>
        <w:t xml:space="preserve"> will include this Section 3 clause in every subcontract and will take all necessary steps to ensure compliance with Section 3 by its subcontractors.  Upon a finding that a subcontractor is in violation of Section 3, Con</w:t>
      </w:r>
      <w:r>
        <w:rPr>
          <w:rFonts w:cs="Arial"/>
          <w:sz w:val="20"/>
        </w:rPr>
        <w:t>tractor</w:t>
      </w:r>
      <w:r w:rsidRPr="006F2A8F">
        <w:rPr>
          <w:rFonts w:cs="Arial"/>
          <w:sz w:val="20"/>
        </w:rPr>
        <w:t xml:space="preserve"> will take appropriate action, as provided in an applicable provision of the subcontract or in this Section 3 clause. Con</w:t>
      </w:r>
      <w:r>
        <w:rPr>
          <w:rFonts w:cs="Arial"/>
          <w:sz w:val="20"/>
        </w:rPr>
        <w:t>tractor</w:t>
      </w:r>
      <w:r w:rsidRPr="006F2A8F">
        <w:rPr>
          <w:rFonts w:cs="Arial"/>
          <w:sz w:val="20"/>
        </w:rPr>
        <w:t xml:space="preserve"> will not subcontract with any subcontractor where the Con</w:t>
      </w:r>
      <w:r>
        <w:rPr>
          <w:rFonts w:cs="Arial"/>
          <w:sz w:val="20"/>
        </w:rPr>
        <w:t>tractor</w:t>
      </w:r>
      <w:r w:rsidRPr="006F2A8F">
        <w:rPr>
          <w:rFonts w:cs="Arial"/>
          <w:sz w:val="20"/>
        </w:rPr>
        <w:t xml:space="preserve"> has notice or knowledge that the subcontractor has been found in violation of Section 3.</w:t>
      </w:r>
    </w:p>
    <w:p w14:paraId="5F819EA2" w14:textId="77777777" w:rsidR="00513713" w:rsidRPr="006F2A8F" w:rsidRDefault="00513713" w:rsidP="00513713">
      <w:pPr>
        <w:jc w:val="both"/>
        <w:rPr>
          <w:rFonts w:cs="Arial"/>
          <w:smallCaps/>
          <w:sz w:val="20"/>
        </w:rPr>
      </w:pPr>
    </w:p>
    <w:p w14:paraId="0AAF8F89" w14:textId="10B3A91C" w:rsidR="00513713" w:rsidRPr="006F2A8F" w:rsidRDefault="00513713" w:rsidP="00513713">
      <w:pPr>
        <w:numPr>
          <w:ilvl w:val="0"/>
          <w:numId w:val="10"/>
        </w:numPr>
        <w:jc w:val="both"/>
        <w:rPr>
          <w:rFonts w:cs="Arial"/>
          <w:smallCaps/>
          <w:sz w:val="20"/>
        </w:rPr>
      </w:pPr>
      <w:r w:rsidRPr="006F2A8F">
        <w:rPr>
          <w:rFonts w:cs="Arial"/>
          <w:sz w:val="20"/>
        </w:rPr>
        <w:t>Con</w:t>
      </w:r>
      <w:r>
        <w:rPr>
          <w:rFonts w:cs="Arial"/>
          <w:sz w:val="20"/>
        </w:rPr>
        <w:t>tractor</w:t>
      </w:r>
      <w:r w:rsidRPr="006F2A8F">
        <w:rPr>
          <w:rFonts w:cs="Arial"/>
          <w:sz w:val="20"/>
        </w:rPr>
        <w:t xml:space="preserve"> will provide certifications in form and substance required by Owner, at such times as Owner may request, certifying (i) Con</w:t>
      </w:r>
      <w:r>
        <w:rPr>
          <w:rFonts w:cs="Arial"/>
          <w:sz w:val="20"/>
        </w:rPr>
        <w:t>tractor</w:t>
      </w:r>
      <w:r w:rsidRPr="006F2A8F">
        <w:rPr>
          <w:rFonts w:cs="Arial"/>
          <w:sz w:val="20"/>
        </w:rPr>
        <w:t>’s compliance with Section 3, and (ii) as to such facts and circumstances pertaining to Section 3 as Owner may require or request, including certification with respect to total number of labor hours worked under this Contract, labor hours worked by Section 3 Workers (as defined in Section 3), and labor hours worked by Targeted Section 3 Workers (as defined in Section 3).</w:t>
      </w:r>
    </w:p>
    <w:p w14:paraId="0C2236B7" w14:textId="77777777" w:rsidR="00513713" w:rsidRPr="006F2A8F" w:rsidRDefault="00513713" w:rsidP="00513713">
      <w:pPr>
        <w:jc w:val="both"/>
        <w:rPr>
          <w:rFonts w:cs="Arial"/>
          <w:smallCaps/>
          <w:sz w:val="20"/>
        </w:rPr>
      </w:pPr>
    </w:p>
    <w:p w14:paraId="7BE3E9E9" w14:textId="7895E629" w:rsidR="00E16C1E" w:rsidRDefault="00513713" w:rsidP="00E16C1E">
      <w:pPr>
        <w:numPr>
          <w:ilvl w:val="0"/>
          <w:numId w:val="10"/>
        </w:numPr>
        <w:jc w:val="both"/>
        <w:rPr>
          <w:rFonts w:cs="Arial"/>
          <w:smallCaps/>
          <w:sz w:val="20"/>
        </w:rPr>
      </w:pPr>
      <w:r w:rsidRPr="006F2A8F">
        <w:rPr>
          <w:rFonts w:cs="Arial"/>
          <w:sz w:val="20"/>
        </w:rPr>
        <w:t>Con</w:t>
      </w:r>
      <w:r>
        <w:rPr>
          <w:rFonts w:cs="Arial"/>
          <w:sz w:val="20"/>
        </w:rPr>
        <w:t>tractor</w:t>
      </w:r>
      <w:r w:rsidRPr="006F2A8F">
        <w:rPr>
          <w:rFonts w:cs="Arial"/>
          <w:sz w:val="20"/>
        </w:rPr>
        <w:t>’s noncompliance with Section 3 may result in sanctions, termination of this Contract for default, and debarment or suspension from future HUD-assisted contracts.</w:t>
      </w:r>
    </w:p>
    <w:p w14:paraId="55E5616D" w14:textId="77777777" w:rsidR="00E16C1E" w:rsidRDefault="00E16C1E" w:rsidP="00E16C1E">
      <w:pPr>
        <w:tabs>
          <w:tab w:val="right" w:pos="-90"/>
          <w:tab w:val="left" w:pos="1080"/>
        </w:tabs>
        <w:jc w:val="both"/>
        <w:rPr>
          <w:rFonts w:cs="Arial"/>
          <w:sz w:val="20"/>
        </w:rPr>
      </w:pPr>
    </w:p>
    <w:p w14:paraId="7D48887A" w14:textId="47B3BD3F" w:rsidR="002B24FE" w:rsidRPr="00402B5A" w:rsidRDefault="008939FF" w:rsidP="00E16C1E">
      <w:pPr>
        <w:pStyle w:val="ListParagraph"/>
        <w:numPr>
          <w:ilvl w:val="0"/>
          <w:numId w:val="10"/>
        </w:numPr>
      </w:pPr>
      <w:hyperlink r:id="rId16" w:history="1">
        <w:r w:rsidR="00513713" w:rsidRPr="00E16C1E">
          <w:rPr>
            <w:rStyle w:val="Hyperlink"/>
            <w:rFonts w:ascii="Arial" w:hAnsi="Arial" w:cs="Arial"/>
            <w:color w:val="auto"/>
            <w:sz w:val="20"/>
            <w:szCs w:val="20"/>
            <w:u w:val="none"/>
          </w:rPr>
          <w:t>Contractor</w:t>
        </w:r>
      </w:hyperlink>
      <w:r w:rsidR="00513713" w:rsidRPr="00E16C1E">
        <w:rPr>
          <w:rFonts w:ascii="Arial" w:hAnsi="Arial" w:cs="Arial"/>
          <w:sz w:val="20"/>
          <w:szCs w:val="20"/>
          <w:shd w:val="clear" w:color="auto" w:fill="FFFFFF"/>
        </w:rPr>
        <w:t> agrees to perform any further acts and execute and deliver any further documents that may be reasonably necessary to carry out the provisions and intent of this Section __ or otherwise to ensure compliance with Section 3</w:t>
      </w:r>
      <w:bookmarkEnd w:id="0"/>
      <w:r w:rsidR="002B24FE" w:rsidRPr="00E16C1E">
        <w:rPr>
          <w:rFonts w:ascii="Arial" w:hAnsi="Arial" w:cs="Arial"/>
          <w:sz w:val="20"/>
          <w:szCs w:val="20"/>
        </w:rPr>
        <w:t>.</w:t>
      </w:r>
    </w:p>
    <w:p w14:paraId="62A89B3E" w14:textId="77777777" w:rsidR="002B24FE" w:rsidRPr="00402B5A" w:rsidRDefault="002B24FE" w:rsidP="002B24FE">
      <w:pPr>
        <w:tabs>
          <w:tab w:val="right" w:pos="-90"/>
          <w:tab w:val="left" w:pos="1080"/>
        </w:tabs>
        <w:jc w:val="both"/>
        <w:rPr>
          <w:rFonts w:cs="Arial"/>
          <w:sz w:val="20"/>
        </w:rPr>
      </w:pPr>
    </w:p>
    <w:p w14:paraId="79587B27" w14:textId="55B72FBC" w:rsidR="002B24FE" w:rsidRPr="00402B5A" w:rsidRDefault="002B24FE" w:rsidP="00E16C1E">
      <w:pPr>
        <w:tabs>
          <w:tab w:val="right" w:pos="-90"/>
          <w:tab w:val="left" w:pos="1080"/>
        </w:tabs>
        <w:ind w:left="1080"/>
        <w:jc w:val="both"/>
        <w:rPr>
          <w:rFonts w:cs="Arial"/>
          <w:sz w:val="20"/>
        </w:rPr>
      </w:pPr>
    </w:p>
    <w:p w14:paraId="52797B02" w14:textId="77777777" w:rsidR="002B24FE" w:rsidRPr="00402B5A" w:rsidRDefault="002B24FE" w:rsidP="002B24FE">
      <w:pPr>
        <w:tabs>
          <w:tab w:val="right" w:pos="-90"/>
          <w:tab w:val="left" w:pos="1080"/>
        </w:tabs>
        <w:jc w:val="both"/>
        <w:rPr>
          <w:rFonts w:cs="Arial"/>
          <w:sz w:val="20"/>
        </w:rPr>
      </w:pPr>
    </w:p>
    <w:sectPr w:rsidR="002B24FE" w:rsidRPr="00402B5A">
      <w:footerReference w:type="default" r:id="rId17"/>
      <w:pgSz w:w="12240" w:h="15840"/>
      <w:pgMar w:top="720"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9EA9" w14:textId="77777777" w:rsidR="00A91DDD" w:rsidRDefault="00A91DDD">
      <w:r>
        <w:separator/>
      </w:r>
    </w:p>
  </w:endnote>
  <w:endnote w:type="continuationSeparator" w:id="0">
    <w:p w14:paraId="4F925ABC" w14:textId="77777777" w:rsidR="00A91DDD" w:rsidRDefault="00A9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7940" w14:textId="4D678CF1" w:rsidR="00F11F99" w:rsidRDefault="00F11F99" w:rsidP="001D7B0B">
    <w:pPr>
      <w:pStyle w:val="Footer"/>
      <w:tabs>
        <w:tab w:val="clear" w:pos="4320"/>
        <w:tab w:val="clear" w:pos="8640"/>
        <w:tab w:val="right" w:pos="9630"/>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BF26C2">
      <w:rPr>
        <w:noProof/>
        <w:sz w:val="16"/>
        <w:szCs w:val="16"/>
      </w:rPr>
      <w:t>AttachmentAVersion2_35K to 250K</w:t>
    </w:r>
    <w:r>
      <w:rPr>
        <w:sz w:val="16"/>
        <w:szCs w:val="16"/>
      </w:rPr>
      <w:fldChar w:fldCharType="end"/>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sidR="002563CB">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2563CB">
      <w:rPr>
        <w:noProof/>
        <w:sz w:val="16"/>
        <w:szCs w:val="16"/>
      </w:rPr>
      <w:t>4</w:t>
    </w:r>
    <w:r>
      <w:rPr>
        <w:sz w:val="16"/>
        <w:szCs w:val="16"/>
      </w:rPr>
      <w:fldChar w:fldCharType="end"/>
    </w:r>
  </w:p>
  <w:p w14:paraId="6F37F236" w14:textId="7BBC78C5" w:rsidR="00F1162E" w:rsidRPr="00A611B0" w:rsidRDefault="00580E75" w:rsidP="001D7B0B">
    <w:pPr>
      <w:pStyle w:val="Footer"/>
      <w:tabs>
        <w:tab w:val="clear" w:pos="4320"/>
        <w:tab w:val="clear" w:pos="8640"/>
        <w:tab w:val="right" w:pos="9630"/>
      </w:tabs>
      <w:rPr>
        <w:sz w:val="16"/>
        <w:szCs w:val="16"/>
      </w:rPr>
    </w:pPr>
    <w:r>
      <w:rPr>
        <w:sz w:val="16"/>
        <w:szCs w:val="16"/>
      </w:rPr>
      <w:t>Last Revised</w:t>
    </w:r>
    <w:r w:rsidR="00127504">
      <w:rPr>
        <w:sz w:val="16"/>
        <w:szCs w:val="16"/>
      </w:rPr>
      <w:t xml:space="preserve"> 04.06.2022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2F41" w14:textId="77777777" w:rsidR="00A91DDD" w:rsidRDefault="00A91DDD">
      <w:r>
        <w:separator/>
      </w:r>
    </w:p>
  </w:footnote>
  <w:footnote w:type="continuationSeparator" w:id="0">
    <w:p w14:paraId="77B21E59" w14:textId="77777777" w:rsidR="00A91DDD" w:rsidRDefault="00A9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5598"/>
    <w:multiLevelType w:val="hybridMultilevel"/>
    <w:tmpl w:val="76A4F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80CF3"/>
    <w:multiLevelType w:val="singleLevel"/>
    <w:tmpl w:val="E30CF53A"/>
    <w:lvl w:ilvl="0">
      <w:start w:val="1"/>
      <w:numFmt w:val="decimal"/>
      <w:lvlText w:val="%1."/>
      <w:lvlJc w:val="left"/>
      <w:pPr>
        <w:tabs>
          <w:tab w:val="num" w:pos="525"/>
        </w:tabs>
        <w:ind w:left="525" w:hanging="525"/>
      </w:pPr>
      <w:rPr>
        <w:rFonts w:hint="default"/>
      </w:rPr>
    </w:lvl>
  </w:abstractNum>
  <w:abstractNum w:abstractNumId="2" w15:restartNumberingAfterBreak="0">
    <w:nsid w:val="3B417835"/>
    <w:multiLevelType w:val="singleLevel"/>
    <w:tmpl w:val="0409000F"/>
    <w:lvl w:ilvl="0">
      <w:start w:val="1"/>
      <w:numFmt w:val="decimal"/>
      <w:lvlText w:val="%1."/>
      <w:lvlJc w:val="left"/>
      <w:pPr>
        <w:ind w:left="720" w:hanging="360"/>
      </w:pPr>
    </w:lvl>
  </w:abstractNum>
  <w:abstractNum w:abstractNumId="3" w15:restartNumberingAfterBreak="0">
    <w:nsid w:val="3C776727"/>
    <w:multiLevelType w:val="hybridMultilevel"/>
    <w:tmpl w:val="02A0F47A"/>
    <w:lvl w:ilvl="0" w:tplc="0CE4ED8C">
      <w:start w:val="2"/>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31D5FE7"/>
    <w:multiLevelType w:val="hybridMultilevel"/>
    <w:tmpl w:val="221ACABC"/>
    <w:lvl w:ilvl="0" w:tplc="32682C0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0E4CAA"/>
    <w:multiLevelType w:val="singleLevel"/>
    <w:tmpl w:val="A80AFEAC"/>
    <w:lvl w:ilvl="0">
      <w:start w:val="1"/>
      <w:numFmt w:val="bullet"/>
      <w:pStyle w:val="ListBullet1"/>
      <w:lvlText w:val=""/>
      <w:lvlJc w:val="left"/>
      <w:pPr>
        <w:tabs>
          <w:tab w:val="num" w:pos="360"/>
        </w:tabs>
        <w:ind w:left="360" w:hanging="360"/>
      </w:pPr>
      <w:rPr>
        <w:rFonts w:ascii="Symbol" w:hAnsi="Symbol" w:hint="default"/>
      </w:rPr>
    </w:lvl>
  </w:abstractNum>
  <w:abstractNum w:abstractNumId="6" w15:restartNumberingAfterBreak="0">
    <w:nsid w:val="4DED3676"/>
    <w:multiLevelType w:val="hybridMultilevel"/>
    <w:tmpl w:val="9DB00680"/>
    <w:lvl w:ilvl="0" w:tplc="3ADA34D8">
      <w:start w:val="1"/>
      <w:numFmt w:val="upperLetter"/>
      <w:lvlText w:val="%1."/>
      <w:lvlJc w:val="left"/>
      <w:pPr>
        <w:tabs>
          <w:tab w:val="num" w:pos="720"/>
        </w:tabs>
        <w:ind w:left="720" w:hanging="360"/>
      </w:pPr>
      <w:rPr>
        <w:rFonts w:hint="default"/>
      </w:rPr>
    </w:lvl>
    <w:lvl w:ilvl="1" w:tplc="14486D3A">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5B505B"/>
    <w:multiLevelType w:val="hybridMultilevel"/>
    <w:tmpl w:val="89CCD074"/>
    <w:lvl w:ilvl="0" w:tplc="0CE4ED8C">
      <w:start w:val="2"/>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71B7103"/>
    <w:multiLevelType w:val="singleLevel"/>
    <w:tmpl w:val="933C0B58"/>
    <w:lvl w:ilvl="0">
      <w:start w:val="1"/>
      <w:numFmt w:val="lowerLetter"/>
      <w:lvlText w:val="(%1)"/>
      <w:lvlJc w:val="left"/>
      <w:pPr>
        <w:tabs>
          <w:tab w:val="num" w:pos="1440"/>
        </w:tabs>
        <w:ind w:left="1440" w:hanging="720"/>
      </w:pPr>
      <w:rPr>
        <w:rFonts w:hint="default"/>
      </w:rPr>
    </w:lvl>
  </w:abstractNum>
  <w:abstractNum w:abstractNumId="9" w15:restartNumberingAfterBreak="0">
    <w:nsid w:val="5FF755E9"/>
    <w:multiLevelType w:val="hybridMultilevel"/>
    <w:tmpl w:val="0E96F486"/>
    <w:lvl w:ilvl="0" w:tplc="85D80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DC2B6E"/>
    <w:multiLevelType w:val="hybridMultilevel"/>
    <w:tmpl w:val="330A6324"/>
    <w:lvl w:ilvl="0" w:tplc="B242250A">
      <w:start w:val="1"/>
      <w:numFmt w:val="decimal"/>
      <w:lvlText w:val="%1."/>
      <w:lvlJc w:val="left"/>
      <w:pPr>
        <w:tabs>
          <w:tab w:val="num" w:pos="1080"/>
        </w:tabs>
        <w:ind w:left="1080" w:hanging="360"/>
      </w:pPr>
      <w:rPr>
        <w:rFonts w:hint="default"/>
      </w:rPr>
    </w:lvl>
    <w:lvl w:ilvl="1" w:tplc="3B965498" w:tentative="1">
      <w:start w:val="1"/>
      <w:numFmt w:val="lowerLetter"/>
      <w:lvlText w:val="%2."/>
      <w:lvlJc w:val="left"/>
      <w:pPr>
        <w:tabs>
          <w:tab w:val="num" w:pos="1440"/>
        </w:tabs>
        <w:ind w:left="1440" w:hanging="360"/>
      </w:pPr>
    </w:lvl>
    <w:lvl w:ilvl="2" w:tplc="BA049FB4" w:tentative="1">
      <w:start w:val="1"/>
      <w:numFmt w:val="lowerRoman"/>
      <w:lvlText w:val="%3."/>
      <w:lvlJc w:val="right"/>
      <w:pPr>
        <w:tabs>
          <w:tab w:val="num" w:pos="2160"/>
        </w:tabs>
        <w:ind w:left="2160" w:hanging="180"/>
      </w:pPr>
    </w:lvl>
    <w:lvl w:ilvl="3" w:tplc="5F2CB0FE" w:tentative="1">
      <w:start w:val="1"/>
      <w:numFmt w:val="decimal"/>
      <w:lvlText w:val="%4."/>
      <w:lvlJc w:val="left"/>
      <w:pPr>
        <w:tabs>
          <w:tab w:val="num" w:pos="2880"/>
        </w:tabs>
        <w:ind w:left="2880" w:hanging="360"/>
      </w:pPr>
    </w:lvl>
    <w:lvl w:ilvl="4" w:tplc="B3C2CA38" w:tentative="1">
      <w:start w:val="1"/>
      <w:numFmt w:val="lowerLetter"/>
      <w:lvlText w:val="%5."/>
      <w:lvlJc w:val="left"/>
      <w:pPr>
        <w:tabs>
          <w:tab w:val="num" w:pos="3600"/>
        </w:tabs>
        <w:ind w:left="3600" w:hanging="360"/>
      </w:pPr>
    </w:lvl>
    <w:lvl w:ilvl="5" w:tplc="7794EEE8" w:tentative="1">
      <w:start w:val="1"/>
      <w:numFmt w:val="lowerRoman"/>
      <w:lvlText w:val="%6."/>
      <w:lvlJc w:val="right"/>
      <w:pPr>
        <w:tabs>
          <w:tab w:val="num" w:pos="4320"/>
        </w:tabs>
        <w:ind w:left="4320" w:hanging="180"/>
      </w:pPr>
    </w:lvl>
    <w:lvl w:ilvl="6" w:tplc="DBCA572C" w:tentative="1">
      <w:start w:val="1"/>
      <w:numFmt w:val="decimal"/>
      <w:lvlText w:val="%7."/>
      <w:lvlJc w:val="left"/>
      <w:pPr>
        <w:tabs>
          <w:tab w:val="num" w:pos="5040"/>
        </w:tabs>
        <w:ind w:left="5040" w:hanging="360"/>
      </w:pPr>
    </w:lvl>
    <w:lvl w:ilvl="7" w:tplc="9B48B7E2" w:tentative="1">
      <w:start w:val="1"/>
      <w:numFmt w:val="lowerLetter"/>
      <w:lvlText w:val="%8."/>
      <w:lvlJc w:val="left"/>
      <w:pPr>
        <w:tabs>
          <w:tab w:val="num" w:pos="5760"/>
        </w:tabs>
        <w:ind w:left="5760" w:hanging="360"/>
      </w:pPr>
    </w:lvl>
    <w:lvl w:ilvl="8" w:tplc="01743966" w:tentative="1">
      <w:start w:val="1"/>
      <w:numFmt w:val="lowerRoman"/>
      <w:lvlText w:val="%9."/>
      <w:lvlJc w:val="right"/>
      <w:pPr>
        <w:tabs>
          <w:tab w:val="num" w:pos="6480"/>
        </w:tabs>
        <w:ind w:left="6480" w:hanging="180"/>
      </w:pPr>
    </w:lvl>
  </w:abstractNum>
  <w:num w:numId="1" w16cid:durableId="1245526630">
    <w:abstractNumId w:val="1"/>
  </w:num>
  <w:num w:numId="2" w16cid:durableId="481240954">
    <w:abstractNumId w:val="5"/>
  </w:num>
  <w:num w:numId="3" w16cid:durableId="624429430">
    <w:abstractNumId w:val="6"/>
  </w:num>
  <w:num w:numId="4" w16cid:durableId="1197934985">
    <w:abstractNumId w:val="0"/>
  </w:num>
  <w:num w:numId="5" w16cid:durableId="1172068332">
    <w:abstractNumId w:val="9"/>
  </w:num>
  <w:num w:numId="6" w16cid:durableId="827786326">
    <w:abstractNumId w:val="3"/>
  </w:num>
  <w:num w:numId="7" w16cid:durableId="1276401381">
    <w:abstractNumId w:val="7"/>
  </w:num>
  <w:num w:numId="8" w16cid:durableId="652175597">
    <w:abstractNumId w:val="2"/>
  </w:num>
  <w:num w:numId="9" w16cid:durableId="1699235991">
    <w:abstractNumId w:val="8"/>
  </w:num>
  <w:num w:numId="10" w16cid:durableId="1624924071">
    <w:abstractNumId w:val="10"/>
  </w:num>
  <w:num w:numId="11" w16cid:durableId="947588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DF4"/>
    <w:rsid w:val="00014950"/>
    <w:rsid w:val="0003091B"/>
    <w:rsid w:val="00033331"/>
    <w:rsid w:val="000752B2"/>
    <w:rsid w:val="0007625D"/>
    <w:rsid w:val="00081746"/>
    <w:rsid w:val="0009665B"/>
    <w:rsid w:val="000A7AD6"/>
    <w:rsid w:val="000B0447"/>
    <w:rsid w:val="000B2CC2"/>
    <w:rsid w:val="000D6296"/>
    <w:rsid w:val="000D738C"/>
    <w:rsid w:val="000E1DE6"/>
    <w:rsid w:val="00100C4C"/>
    <w:rsid w:val="00113FA8"/>
    <w:rsid w:val="00124FDC"/>
    <w:rsid w:val="00127504"/>
    <w:rsid w:val="0014626B"/>
    <w:rsid w:val="00155E76"/>
    <w:rsid w:val="00187303"/>
    <w:rsid w:val="001A7ED7"/>
    <w:rsid w:val="001D6FBE"/>
    <w:rsid w:val="001D7B0B"/>
    <w:rsid w:val="001F5C53"/>
    <w:rsid w:val="00207956"/>
    <w:rsid w:val="00207DDF"/>
    <w:rsid w:val="00214667"/>
    <w:rsid w:val="00217456"/>
    <w:rsid w:val="002200CE"/>
    <w:rsid w:val="00221779"/>
    <w:rsid w:val="0022278E"/>
    <w:rsid w:val="00235451"/>
    <w:rsid w:val="002563CB"/>
    <w:rsid w:val="00271769"/>
    <w:rsid w:val="00274920"/>
    <w:rsid w:val="00282772"/>
    <w:rsid w:val="00293D11"/>
    <w:rsid w:val="002B24FE"/>
    <w:rsid w:val="002E5280"/>
    <w:rsid w:val="002E6C5C"/>
    <w:rsid w:val="00310512"/>
    <w:rsid w:val="00324F06"/>
    <w:rsid w:val="003516B9"/>
    <w:rsid w:val="00356182"/>
    <w:rsid w:val="003668FC"/>
    <w:rsid w:val="00374573"/>
    <w:rsid w:val="003772BE"/>
    <w:rsid w:val="00381118"/>
    <w:rsid w:val="00384DED"/>
    <w:rsid w:val="00395707"/>
    <w:rsid w:val="003C4B90"/>
    <w:rsid w:val="003D49FC"/>
    <w:rsid w:val="003E4A4B"/>
    <w:rsid w:val="003F0B52"/>
    <w:rsid w:val="003F0E92"/>
    <w:rsid w:val="003F3704"/>
    <w:rsid w:val="00402B5A"/>
    <w:rsid w:val="0040449B"/>
    <w:rsid w:val="0043328C"/>
    <w:rsid w:val="004665B2"/>
    <w:rsid w:val="004772B2"/>
    <w:rsid w:val="00490AEC"/>
    <w:rsid w:val="00491AC9"/>
    <w:rsid w:val="004C0CAA"/>
    <w:rsid w:val="005049D9"/>
    <w:rsid w:val="00513713"/>
    <w:rsid w:val="00522277"/>
    <w:rsid w:val="0052501F"/>
    <w:rsid w:val="00553AF1"/>
    <w:rsid w:val="00554423"/>
    <w:rsid w:val="00566C62"/>
    <w:rsid w:val="00571657"/>
    <w:rsid w:val="00572706"/>
    <w:rsid w:val="00580E75"/>
    <w:rsid w:val="005A3A0E"/>
    <w:rsid w:val="005A4F09"/>
    <w:rsid w:val="005A52C3"/>
    <w:rsid w:val="005D3025"/>
    <w:rsid w:val="005D526D"/>
    <w:rsid w:val="005E3948"/>
    <w:rsid w:val="005F3018"/>
    <w:rsid w:val="005F7A9D"/>
    <w:rsid w:val="00600825"/>
    <w:rsid w:val="0061132B"/>
    <w:rsid w:val="00624A9C"/>
    <w:rsid w:val="006464E4"/>
    <w:rsid w:val="006512A8"/>
    <w:rsid w:val="00666F48"/>
    <w:rsid w:val="0066755D"/>
    <w:rsid w:val="006A3E2A"/>
    <w:rsid w:val="006C3EA1"/>
    <w:rsid w:val="006D37BC"/>
    <w:rsid w:val="006E0621"/>
    <w:rsid w:val="006F2A8F"/>
    <w:rsid w:val="00701B1B"/>
    <w:rsid w:val="007036FB"/>
    <w:rsid w:val="007528D5"/>
    <w:rsid w:val="00774BC7"/>
    <w:rsid w:val="00795AB6"/>
    <w:rsid w:val="007B41FE"/>
    <w:rsid w:val="007F33FB"/>
    <w:rsid w:val="00807EB5"/>
    <w:rsid w:val="00810AFE"/>
    <w:rsid w:val="008127B8"/>
    <w:rsid w:val="008210B7"/>
    <w:rsid w:val="00860AD3"/>
    <w:rsid w:val="008678D4"/>
    <w:rsid w:val="008752B3"/>
    <w:rsid w:val="008822E7"/>
    <w:rsid w:val="00882972"/>
    <w:rsid w:val="008939FF"/>
    <w:rsid w:val="00894933"/>
    <w:rsid w:val="008A33C8"/>
    <w:rsid w:val="008B6B1B"/>
    <w:rsid w:val="008D0EBB"/>
    <w:rsid w:val="008D0F7E"/>
    <w:rsid w:val="008F031F"/>
    <w:rsid w:val="008F2346"/>
    <w:rsid w:val="008F57BE"/>
    <w:rsid w:val="0092023A"/>
    <w:rsid w:val="00921749"/>
    <w:rsid w:val="00926C9B"/>
    <w:rsid w:val="0093434B"/>
    <w:rsid w:val="00986A71"/>
    <w:rsid w:val="0099345A"/>
    <w:rsid w:val="009B38D0"/>
    <w:rsid w:val="009C02CC"/>
    <w:rsid w:val="009C6D09"/>
    <w:rsid w:val="009E3902"/>
    <w:rsid w:val="00A11FBC"/>
    <w:rsid w:val="00A46078"/>
    <w:rsid w:val="00A6588B"/>
    <w:rsid w:val="00A84B6F"/>
    <w:rsid w:val="00A91DDD"/>
    <w:rsid w:val="00AF2A27"/>
    <w:rsid w:val="00AF33BB"/>
    <w:rsid w:val="00B0311A"/>
    <w:rsid w:val="00B2514F"/>
    <w:rsid w:val="00B25FBC"/>
    <w:rsid w:val="00B2618F"/>
    <w:rsid w:val="00B454F2"/>
    <w:rsid w:val="00B500AC"/>
    <w:rsid w:val="00BA204B"/>
    <w:rsid w:val="00BF26C2"/>
    <w:rsid w:val="00BF5832"/>
    <w:rsid w:val="00C07A3F"/>
    <w:rsid w:val="00C21F6B"/>
    <w:rsid w:val="00C32C0B"/>
    <w:rsid w:val="00C629B6"/>
    <w:rsid w:val="00C80FE9"/>
    <w:rsid w:val="00C96B6B"/>
    <w:rsid w:val="00CA13BD"/>
    <w:rsid w:val="00CE10B0"/>
    <w:rsid w:val="00CE5ACD"/>
    <w:rsid w:val="00D02CDA"/>
    <w:rsid w:val="00D0452B"/>
    <w:rsid w:val="00D07BA3"/>
    <w:rsid w:val="00D10C53"/>
    <w:rsid w:val="00D46EB5"/>
    <w:rsid w:val="00D50639"/>
    <w:rsid w:val="00D62DF4"/>
    <w:rsid w:val="00D702FC"/>
    <w:rsid w:val="00D9459A"/>
    <w:rsid w:val="00D97182"/>
    <w:rsid w:val="00DA3B71"/>
    <w:rsid w:val="00DA3D64"/>
    <w:rsid w:val="00DA46D1"/>
    <w:rsid w:val="00DB23AA"/>
    <w:rsid w:val="00DC2E27"/>
    <w:rsid w:val="00E01DDE"/>
    <w:rsid w:val="00E112F7"/>
    <w:rsid w:val="00E16C1E"/>
    <w:rsid w:val="00E52FCE"/>
    <w:rsid w:val="00E75C4F"/>
    <w:rsid w:val="00E76A01"/>
    <w:rsid w:val="00E92425"/>
    <w:rsid w:val="00EC16E3"/>
    <w:rsid w:val="00EC5C50"/>
    <w:rsid w:val="00ED4570"/>
    <w:rsid w:val="00ED6FAC"/>
    <w:rsid w:val="00EF4558"/>
    <w:rsid w:val="00F1162E"/>
    <w:rsid w:val="00F11F99"/>
    <w:rsid w:val="00F57FDC"/>
    <w:rsid w:val="00F64FEA"/>
    <w:rsid w:val="00F65CDA"/>
    <w:rsid w:val="00F671BB"/>
    <w:rsid w:val="00F73C2F"/>
    <w:rsid w:val="00F76210"/>
    <w:rsid w:val="00F85591"/>
    <w:rsid w:val="00FA1468"/>
    <w:rsid w:val="00FB3FF2"/>
    <w:rsid w:val="00FC49E9"/>
    <w:rsid w:val="00FC561C"/>
    <w:rsid w:val="00FE09CC"/>
    <w:rsid w:val="00FE6394"/>
    <w:rsid w:val="00FE6EF4"/>
    <w:rsid w:val="00FF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3E8EA561"/>
  <w15:docId w15:val="{09895E26-20BE-48C6-93BE-D3ABC30D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2">
    <w:name w:val="Body Text 2"/>
    <w:basedOn w:val="Normal"/>
    <w:pPr>
      <w:jc w:val="both"/>
    </w:pPr>
  </w:style>
  <w:style w:type="paragraph" w:styleId="Subtitle">
    <w:name w:val="Subtitle"/>
    <w:basedOn w:val="Normal"/>
    <w:qFormat/>
    <w:pPr>
      <w:jc w:val="center"/>
    </w:pPr>
    <w:rPr>
      <w:b/>
    </w:rPr>
  </w:style>
  <w:style w:type="character" w:styleId="FollowedHyperlink">
    <w:name w:val="FollowedHyperlink"/>
    <w:basedOn w:val="DefaultParagraphFont"/>
    <w:rPr>
      <w:color w:val="800080"/>
      <w:u w:val="single"/>
    </w:rPr>
  </w:style>
  <w:style w:type="paragraph" w:customStyle="1" w:styleId="ListBullet1">
    <w:name w:val="List Bullet1"/>
    <w:basedOn w:val="Normal"/>
    <w:pPr>
      <w:numPr>
        <w:numId w:val="2"/>
      </w:numPr>
    </w:pPr>
    <w:rPr>
      <w:rFonts w:ascii="Times New Roman" w:hAnsi="Times New Roman"/>
    </w:rPr>
  </w:style>
  <w:style w:type="paragraph" w:styleId="BodyText">
    <w:name w:val="Body Text"/>
    <w:basedOn w:val="Normal"/>
    <w:rsid w:val="000D738C"/>
    <w:pPr>
      <w:spacing w:after="120"/>
    </w:pPr>
  </w:style>
  <w:style w:type="paragraph" w:styleId="Header">
    <w:name w:val="header"/>
    <w:basedOn w:val="Normal"/>
    <w:rsid w:val="002B24FE"/>
    <w:pPr>
      <w:tabs>
        <w:tab w:val="center" w:pos="4320"/>
        <w:tab w:val="right" w:pos="8640"/>
      </w:tabs>
    </w:pPr>
  </w:style>
  <w:style w:type="paragraph" w:styleId="Footer">
    <w:name w:val="footer"/>
    <w:basedOn w:val="Normal"/>
    <w:rsid w:val="002B24FE"/>
    <w:pPr>
      <w:tabs>
        <w:tab w:val="center" w:pos="4320"/>
        <w:tab w:val="right" w:pos="8640"/>
      </w:tabs>
    </w:pPr>
  </w:style>
  <w:style w:type="paragraph" w:styleId="BalloonText">
    <w:name w:val="Balloon Text"/>
    <w:basedOn w:val="Normal"/>
    <w:semiHidden/>
    <w:rsid w:val="004665B2"/>
    <w:rPr>
      <w:rFonts w:ascii="Tahoma" w:hAnsi="Tahoma" w:cs="Tahoma"/>
      <w:sz w:val="16"/>
      <w:szCs w:val="16"/>
    </w:rPr>
  </w:style>
  <w:style w:type="paragraph" w:styleId="ListParagraph">
    <w:name w:val="List Paragraph"/>
    <w:basedOn w:val="Normal"/>
    <w:uiPriority w:val="34"/>
    <w:qFormat/>
    <w:rsid w:val="006512A8"/>
    <w:pPr>
      <w:spacing w:after="200" w:line="276" w:lineRule="auto"/>
      <w:ind w:left="720"/>
      <w:contextualSpacing/>
    </w:pPr>
    <w:rPr>
      <w:rFonts w:asciiTheme="minorHAnsi" w:eastAsiaTheme="minorHAnsi" w:hAnsiTheme="minorHAnsi" w:cstheme="minorBidi"/>
      <w:sz w:val="22"/>
      <w:szCs w:val="22"/>
    </w:rPr>
  </w:style>
  <w:style w:type="paragraph" w:styleId="BodyTextIndent2">
    <w:name w:val="Body Text Indent 2"/>
    <w:basedOn w:val="Normal"/>
    <w:link w:val="BodyTextIndent2Char"/>
    <w:rsid w:val="008F2346"/>
    <w:pPr>
      <w:spacing w:after="120" w:line="480" w:lineRule="auto"/>
      <w:ind w:left="360"/>
    </w:pPr>
  </w:style>
  <w:style w:type="character" w:customStyle="1" w:styleId="BodyTextIndent2Char">
    <w:name w:val="Body Text Indent 2 Char"/>
    <w:basedOn w:val="DefaultParagraphFont"/>
    <w:link w:val="BodyTextIndent2"/>
    <w:rsid w:val="008F2346"/>
    <w:rPr>
      <w:rFonts w:ascii="Arial" w:hAnsi="Arial"/>
      <w:sz w:val="24"/>
    </w:rPr>
  </w:style>
  <w:style w:type="paragraph" w:customStyle="1" w:styleId="paragraph">
    <w:name w:val="paragraph"/>
    <w:basedOn w:val="Normal"/>
    <w:rsid w:val="00D0452B"/>
    <w:rPr>
      <w:rFonts w:ascii="Times New Roman" w:hAnsi="Times New Roman"/>
      <w:szCs w:val="24"/>
    </w:rPr>
  </w:style>
  <w:style w:type="character" w:customStyle="1" w:styleId="normaltextrun1">
    <w:name w:val="normaltextrun1"/>
    <w:basedOn w:val="DefaultParagraphFont"/>
    <w:rsid w:val="00D0452B"/>
  </w:style>
  <w:style w:type="character" w:customStyle="1" w:styleId="eop">
    <w:name w:val="eop"/>
    <w:basedOn w:val="DefaultParagraphFont"/>
    <w:rsid w:val="00D0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30601">
      <w:bodyDiv w:val="1"/>
      <w:marLeft w:val="0"/>
      <w:marRight w:val="0"/>
      <w:marTop w:val="0"/>
      <w:marBottom w:val="0"/>
      <w:divBdr>
        <w:top w:val="none" w:sz="0" w:space="0" w:color="auto"/>
        <w:left w:val="none" w:sz="0" w:space="0" w:color="auto"/>
        <w:bottom w:val="none" w:sz="0" w:space="0" w:color="auto"/>
        <w:right w:val="none" w:sz="0" w:space="0" w:color="auto"/>
      </w:divBdr>
    </w:div>
    <w:div w:id="1561093006">
      <w:bodyDiv w:val="1"/>
      <w:marLeft w:val="0"/>
      <w:marRight w:val="0"/>
      <w:marTop w:val="0"/>
      <w:marBottom w:val="0"/>
      <w:divBdr>
        <w:top w:val="none" w:sz="0" w:space="0" w:color="auto"/>
        <w:left w:val="none" w:sz="0" w:space="0" w:color="auto"/>
        <w:bottom w:val="none" w:sz="0" w:space="0" w:color="auto"/>
        <w:right w:val="none" w:sz="0" w:space="0" w:color="auto"/>
      </w:divBdr>
    </w:div>
    <w:div w:id="18981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attlehousing.org/sites/default/files/Procurement%20Polici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m.gov/portal/public/S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winsider.com/clause/furthe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eattlehousing.org/sites/default/files/u2/Performance_Evaluation_Program.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housing.org/sites/default/files/General%20Conditions%20of%20The%20Contract%20For%20Construction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olor xmlns="0297b9fd-09f4-48f4-af3d-6c0cf9c3b812" xsi:nil="true"/>
    <Category xmlns="0297b9fd-09f4-48f4-af3d-6c0cf9c3b812">Purchasing</Category>
    <Department xmlns="0297b9fd-09f4-48f4-af3d-6c0cf9c3b812">F&amp;A</Department>
    <Sub_x002d_category xmlns="0297b9fd-09f4-48f4-af3d-6c0cf9c3b812">Construction Contracts</Sub_x002d_category>
    <Form_x0020_Number xmlns="0297b9fd-09f4-48f4-af3d-6c0cf9c3b8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B8D893446767241B014B4EEB92E6841" ma:contentTypeVersion="932" ma:contentTypeDescription="Create a new document." ma:contentTypeScope="" ma:versionID="c6a1c3ec3e9e953c12e0d65cbb306bef">
  <xsd:schema xmlns:xsd="http://www.w3.org/2001/XMLSchema" xmlns:xs="http://www.w3.org/2001/XMLSchema" xmlns:p="http://schemas.microsoft.com/office/2006/metadata/properties" xmlns:ns2="0297b9fd-09f4-48f4-af3d-6c0cf9c3b812" xmlns:ns3="8abd758e-3bfe-4f5f-95ae-bcd60c09f201" targetNamespace="http://schemas.microsoft.com/office/2006/metadata/properties" ma:root="true" ma:fieldsID="c2cb0fa2dcdf33dc34599681477caff4" ns2:_="" ns3:_="">
    <xsd:import namespace="0297b9fd-09f4-48f4-af3d-6c0cf9c3b812"/>
    <xsd:import namespace="8abd758e-3bfe-4f5f-95ae-bcd60c09f201"/>
    <xsd:element name="properties">
      <xsd:complexType>
        <xsd:sequence>
          <xsd:element name="documentManagement">
            <xsd:complexType>
              <xsd:all>
                <xsd:element ref="ns2:Department" minOccurs="0"/>
                <xsd:element ref="ns2:Category" minOccurs="0"/>
                <xsd:element ref="ns2:Sub_x002d_category" minOccurs="0"/>
                <xsd:element ref="ns2:Form_x0020_Number" minOccurs="0"/>
                <xsd:element ref="ns2:Form_x0020_Color"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7b9fd-09f4-48f4-af3d-6c0cf9c3b812" elementFormDefault="qualified">
    <xsd:import namespace="http://schemas.microsoft.com/office/2006/documentManagement/types"/>
    <xsd:import namespace="http://schemas.microsoft.com/office/infopath/2007/PartnerControls"/>
    <xsd:element name="Department" ma:index="2" nillable="true" ma:displayName="Department" ma:default="F&amp;A" ma:format="Dropdown" ma:internalName="Department">
      <xsd:simpleType>
        <xsd:restriction base="dms:Choice">
          <xsd:enumeration value="HR"/>
          <xsd:enumeration value="F&amp;A"/>
          <xsd:enumeration value="HOPS"/>
          <xsd:enumeration value="IT"/>
        </xsd:restriction>
      </xsd:simpleType>
    </xsd:element>
    <xsd:element name="Category" ma:index="3" nillable="true" ma:displayName="Category" ma:format="Dropdown" ma:internalName="Category">
      <xsd:simpleType>
        <xsd:restriction base="dms:Choice">
          <xsd:enumeration value="Accounts Payable"/>
          <xsd:enumeration value="Accounts Receivable"/>
          <xsd:enumeration value="General Finance"/>
          <xsd:enumeration value="Housing Ops"/>
          <xsd:enumeration value="Payroll"/>
          <xsd:enumeration value="Purchasing"/>
          <xsd:enumeration value="Travel"/>
          <xsd:enumeration value="N/A"/>
        </xsd:restriction>
      </xsd:simpleType>
    </xsd:element>
    <xsd:element name="Sub_x002d_category" ma:index="4" nillable="true" ma:displayName="Sub-category" ma:format="Dropdown" ma:internalName="Sub_x002d_category">
      <xsd:simpleType>
        <xsd:restriction base="dms:Choice">
          <xsd:enumeration value="Accounts Payable"/>
          <xsd:enumeration value="Accounts Receivable"/>
          <xsd:enumeration value="Construction Contracts"/>
          <xsd:enumeration value="Consultant Contracts"/>
          <xsd:enumeration value="Fixed Assets"/>
          <xsd:enumeration value="Goods &amp; Supplies"/>
          <xsd:enumeration value="Payroll"/>
          <xsd:enumeration value="Risk Management"/>
          <xsd:enumeration value="Treasury"/>
          <xsd:enumeration value="Travel"/>
          <xsd:enumeration value="N/A"/>
        </xsd:restriction>
      </xsd:simpleType>
    </xsd:element>
    <xsd:element name="Form_x0020_Number" ma:index="5" nillable="true" ma:displayName="Form Number" ma:internalName="Form_x0020_Number">
      <xsd:simpleType>
        <xsd:restriction base="dms:Text">
          <xsd:maxLength value="255"/>
        </xsd:restriction>
      </xsd:simpleType>
    </xsd:element>
    <xsd:element name="Form_x0020_Color" ma:index="6" nillable="true" ma:displayName="Form Color" ma:format="Dropdown" ma:internalName="Form_x0020_Color">
      <xsd:simpleType>
        <xsd:restriction base="dms:Choice">
          <xsd:enumeration value="Blue"/>
          <xsd:enumeration value="Goldenrod"/>
          <xsd:enumeration value="Lime Green"/>
          <xsd:enumeration value="Purple"/>
          <xsd:enumeration value="Salmo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bd758e-3bfe-4f5f-95ae-bcd60c09f20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7DE64-07D6-4DEC-8CBE-C3EDBA63C45B}">
  <ds:schemaRefs>
    <ds:schemaRef ds:uri="8abd758e-3bfe-4f5f-95ae-bcd60c09f201"/>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0297b9fd-09f4-48f4-af3d-6c0cf9c3b812"/>
  </ds:schemaRefs>
</ds:datastoreItem>
</file>

<file path=customXml/itemProps2.xml><?xml version="1.0" encoding="utf-8"?>
<ds:datastoreItem xmlns:ds="http://schemas.openxmlformats.org/officeDocument/2006/customXml" ds:itemID="{FAB6DD32-655F-44F8-929F-CDA0925E0EDA}">
  <ds:schemaRefs>
    <ds:schemaRef ds:uri="http://schemas.microsoft.com/sharepoint/v3/contenttype/forms"/>
  </ds:schemaRefs>
</ds:datastoreItem>
</file>

<file path=customXml/itemProps3.xml><?xml version="1.0" encoding="utf-8"?>
<ds:datastoreItem xmlns:ds="http://schemas.openxmlformats.org/officeDocument/2006/customXml" ds:itemID="{DCFECB99-B028-4AE7-A22F-358BC519C475}">
  <ds:schemaRefs>
    <ds:schemaRef ds:uri="http://schemas.microsoft.com/sharepoint/events"/>
  </ds:schemaRefs>
</ds:datastoreItem>
</file>

<file path=customXml/itemProps4.xml><?xml version="1.0" encoding="utf-8"?>
<ds:datastoreItem xmlns:ds="http://schemas.openxmlformats.org/officeDocument/2006/customXml" ds:itemID="{880FB3A8-A27B-4A96-8907-DA734D909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7b9fd-09f4-48f4-af3d-6c0cf9c3b812"/>
    <ds:schemaRef ds:uri="8abd758e-3bfe-4f5f-95ae-bcd60c09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Seattle Housing Authority</Company>
  <LinksUpToDate>false</LinksUpToDate>
  <CharactersWithSpaces>10508</CharactersWithSpaces>
  <SharedDoc>false</SharedDoc>
  <HLinks>
    <vt:vector size="18" baseType="variant">
      <vt:variant>
        <vt:i4>6684730</vt:i4>
      </vt:variant>
      <vt:variant>
        <vt:i4>9</vt:i4>
      </vt:variant>
      <vt:variant>
        <vt:i4>0</vt:i4>
      </vt:variant>
      <vt:variant>
        <vt:i4>5</vt:i4>
      </vt:variant>
      <vt:variant>
        <vt:lpwstr>http://seattlehousing.org/business/guidelines/pdf/Performance_Evaluation_Program.pdf</vt:lpwstr>
      </vt:variant>
      <vt:variant>
        <vt:lpwstr/>
      </vt:variant>
      <vt:variant>
        <vt:i4>2228251</vt:i4>
      </vt:variant>
      <vt:variant>
        <vt:i4>6</vt:i4>
      </vt:variant>
      <vt:variant>
        <vt:i4>0</vt:i4>
      </vt:variant>
      <vt:variant>
        <vt:i4>5</vt:i4>
      </vt:variant>
      <vt:variant>
        <vt:lpwstr>http://www.seattlehousing.org/business/guidelines/pdf/Construction_Contract_General_Conditions.pdf</vt:lpwstr>
      </vt:variant>
      <vt:variant>
        <vt:lpwstr/>
      </vt:variant>
      <vt:variant>
        <vt:i4>1376301</vt:i4>
      </vt:variant>
      <vt:variant>
        <vt:i4>3</vt:i4>
      </vt:variant>
      <vt:variant>
        <vt:i4>0</vt:i4>
      </vt:variant>
      <vt:variant>
        <vt:i4>5</vt:i4>
      </vt:variant>
      <vt:variant>
        <vt:lpwstr>http://www.seattlehousing.org/business/guidelines/pdf/Procurement_Policies.pdf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 Purdy</dc:creator>
  <cp:lastModifiedBy>Sharp, Veronica</cp:lastModifiedBy>
  <cp:revision>4</cp:revision>
  <cp:lastPrinted>2022-05-10T21:24:00Z</cp:lastPrinted>
  <dcterms:created xsi:type="dcterms:W3CDTF">2022-04-06T15:57:00Z</dcterms:created>
  <dcterms:modified xsi:type="dcterms:W3CDTF">2023-06-30T17:27:00Z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0x0101000B8D893446767241B014B4EEB92E6841</vt:lpwstr>
  </property>
</Properties>
</file>